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</w:rPr>
      </w:pPr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Investigator Brochure (IB) For Medical Device Study</w:t>
      </w:r>
    </w:p>
    <w:p w:rsidR="00000000" w:rsidDel="00000000" w:rsidP="00000000" w:rsidRDefault="00000000" w:rsidRPr="00000000" w14:paraId="00000002">
      <w:pPr>
        <w:jc w:val="both"/>
        <w:rPr>
          <w:rFonts w:ascii="Sarabun" w:cs="Sarabun" w:eastAsia="Sarabun" w:hAnsi="Sarabu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General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Identification of the IB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Name of the investigation device.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Document reference number, if any.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Version or date of the IB.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Confidentiality statement, if appropriate.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Summary of the revision history in the case of amendments, if appropriate.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28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version/issue number reference number, if any, with the page number and the total number of pages on each page of the IB.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Sponsor/Manufacturer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Investigational device information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Summary of the literature and evaluation supporting the rationale for the design and intended use of the investigational device.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Statement concerning the regulatory classification of the investigational device, if relevant.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General description of the investigational device and its components including materials used.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Summary of relevant manufacturing processes and related validation processes.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Description of the mechanism of action of the investigational device, along with supporting scientific literature.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Manufacturer’s instructions for installation and use of the investigational device, including any necessary storage and handing requirements, preparation of use and any intended re-use (e.g. sterilization), any pre-use safety or performance checks and any precautions to be taken after use (e.g. disposal), if relevant.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Description of the intended clinical performance.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Pre-clinical testing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Summary of the preclinical testing that has been performed on the investigational device, together with an evaluation of the results of such testing justifying its use in human subjects.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summary shall include or, where applicable, refer to the results of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8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design calculations,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8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vitro tests,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8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mechanical and electrical tests,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8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reliability tests,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8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validation of software related to the function of the device,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8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any performance tests,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8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 vivo tests,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28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 evaluation of biological safety</w:t>
      </w:r>
    </w:p>
    <w:p w:rsidR="00000000" w:rsidDel="00000000" w:rsidP="00000000" w:rsidRDefault="00000000" w:rsidRPr="00000000" w14:paraId="00000020">
      <w:pPr>
        <w:ind w:left="567" w:firstLine="0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Note: Guideline on the biological evaluation of medical device is given in ISO 10993-1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Existing clinical data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Summary of relevant previous experience with the investigational device and with medical devices that have similar characteristics, including such characteristics relate to other indications for use of the investigational device.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Analyze of adverse device effects and any history of modification or recall.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Risk management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Summary of the risk analysis, including identification of residual risks.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Result of risk assessment.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Anticipated risks, contra-indications, warnings, etc. for the investigational device.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Regulatory and other references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 of International Standards, if any, complied with in full or in part.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Statement of conformity with national regulations, where appropriated.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4" w:right="0" w:hanging="504.0000000000000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 of references, if relevant. </w:t>
      </w:r>
    </w:p>
    <w:p w:rsidR="00000000" w:rsidDel="00000000" w:rsidP="00000000" w:rsidRDefault="00000000" w:rsidRPr="00000000" w14:paraId="0000002C">
      <w:pPr>
        <w:jc w:val="both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30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33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AP 01-S07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9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149" w:hanging="360"/>
      </w:pPr>
      <w:rPr/>
    </w:lvl>
    <w:lvl w:ilvl="1">
      <w:start w:val="1"/>
      <w:numFmt w:val="lowerLetter"/>
      <w:lvlText w:val="%2."/>
      <w:lvlJc w:val="left"/>
      <w:pPr>
        <w:ind w:left="1869" w:hanging="360"/>
      </w:pPr>
      <w:rPr/>
    </w:lvl>
    <w:lvl w:ilvl="2">
      <w:start w:val="1"/>
      <w:numFmt w:val="lowerRoman"/>
      <w:lvlText w:val="%3."/>
      <w:lvlJc w:val="right"/>
      <w:pPr>
        <w:ind w:left="2589" w:hanging="180"/>
      </w:pPr>
      <w:rPr/>
    </w:lvl>
    <w:lvl w:ilvl="3">
      <w:start w:val="1"/>
      <w:numFmt w:val="decimal"/>
      <w:lvlText w:val="%4."/>
      <w:lvlJc w:val="left"/>
      <w:pPr>
        <w:ind w:left="3309" w:hanging="360"/>
      </w:pPr>
      <w:rPr/>
    </w:lvl>
    <w:lvl w:ilvl="4">
      <w:start w:val="1"/>
      <w:numFmt w:val="lowerLetter"/>
      <w:lvlText w:val="%5."/>
      <w:lvlJc w:val="left"/>
      <w:pPr>
        <w:ind w:left="4029" w:hanging="360"/>
      </w:pPr>
      <w:rPr/>
    </w:lvl>
    <w:lvl w:ilvl="5">
      <w:start w:val="1"/>
      <w:numFmt w:val="lowerRoman"/>
      <w:lvlText w:val="%6."/>
      <w:lvlJc w:val="right"/>
      <w:pPr>
        <w:ind w:left="4749" w:hanging="180"/>
      </w:pPr>
      <w:rPr/>
    </w:lvl>
    <w:lvl w:ilvl="6">
      <w:start w:val="1"/>
      <w:numFmt w:val="decimal"/>
      <w:lvlText w:val="%7."/>
      <w:lvlJc w:val="left"/>
      <w:pPr>
        <w:ind w:left="5469" w:hanging="360"/>
      </w:pPr>
      <w:rPr/>
    </w:lvl>
    <w:lvl w:ilvl="7">
      <w:start w:val="1"/>
      <w:numFmt w:val="lowerLetter"/>
      <w:lvlText w:val="%8."/>
      <w:lvlJc w:val="left"/>
      <w:pPr>
        <w:ind w:left="6189" w:hanging="360"/>
      </w:pPr>
      <w:rPr/>
    </w:lvl>
    <w:lvl w:ilvl="8">
      <w:start w:val="1"/>
      <w:numFmt w:val="lowerRoman"/>
      <w:lvlText w:val="%9."/>
      <w:lvlJc w:val="right"/>
      <w:pPr>
        <w:ind w:left="6909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Plain Text"/>
    <w:aliases w:val="อักขระ"/>
    <w:basedOn w:val="a"/>
    <w:link w:val="ad"/>
    <w:uiPriority w:val="99"/>
    <w:rsid w:val="00A114BC"/>
    <w:rPr>
      <w:rFonts w:ascii="Courier New" w:cs="Angsana New" w:eastAsia="Times New Roman" w:hAnsi="Courier New"/>
      <w:sz w:val="20"/>
      <w:szCs w:val="20"/>
    </w:rPr>
  </w:style>
  <w:style w:type="character" w:styleId="ad" w:customStyle="1">
    <w:name w:val="ข้อความธรรมดา อักขระ"/>
    <w:aliases w:val="อักขระ อักขระ"/>
    <w:basedOn w:val="a0"/>
    <w:link w:val="ac"/>
    <w:uiPriority w:val="99"/>
    <w:rsid w:val="00A114BC"/>
    <w:rPr>
      <w:rFonts w:ascii="Courier New" w:cs="Angsana New" w:eastAsia="Times New Roman" w:hAnsi="Courier New"/>
      <w:sz w:val="20"/>
      <w:szCs w:val="2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ETqZEmFXP77oYRyofwKJ0a2gg==">CgMxLjA4AHIhMWtlbzc4T05zNC01UVp6Ulh6X21WQUNLQURtT0hrYWNX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2020-04-14T00:16:00Z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