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tabs>
          <w:tab w:val="center" w:leader="none" w:pos="4819"/>
          <w:tab w:val="left" w:leader="none" w:pos="8928"/>
        </w:tabs>
        <w:spacing w:before="120" w:line="204" w:lineRule="auto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  <w:t xml:space="preserve">Issues to be Addresses in Obtaining</w:t>
        <w:tab/>
      </w:r>
    </w:p>
    <w:p w:rsidR="00000000" w:rsidDel="00000000" w:rsidP="00000000" w:rsidRDefault="00000000" w:rsidRPr="00000000" w14:paraId="00000002">
      <w:pPr>
        <w:pStyle w:val="Heading3"/>
        <w:spacing w:before="120" w:line="204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Informed Consent Involving DNA Banking and Genetic Research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(CREC No.)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ชื่อโครงการ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ชื่อหัวหน้าโครงการ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สังกัด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ชื่อกรรมการทบทวน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กำหนดส่งคืน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สรุปโครงการเก็บสารพันธุกรรมโดยย่อเพื่อนำเสนอในที่ประชุม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5103"/>
        <w:gridCol w:w="1134"/>
        <w:gridCol w:w="1276"/>
        <w:gridCol w:w="1417"/>
        <w:tblGridChange w:id="0">
          <w:tblGrid>
            <w:gridCol w:w="709"/>
            <w:gridCol w:w="5103"/>
            <w:gridCol w:w="1134"/>
            <w:gridCol w:w="1276"/>
            <w:gridCol w:w="1417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ข้อ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หัวข้อการประเมิน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เหมาะสม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ไม่เหมาะสม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วัตถุประสงค์ของงานวิจัย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แจ้งอาสาสมัครว่า สิ่งส่งตรวจจะถูกนำไปใช้ในงานวิจัยเกี่ยวกับมนุษย์พันธุศาสตร์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ระยะเวลาและรายละเอียดเกี่ยวกับการเก็บ สิ่งส่งตรวจ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แจ้งอาสาสมัครว่า ระยะเวลาการเก็บสิ่งส่งตรวจการทำลายเมื่อสิ้นสุดการศึกษา (ถ้าไม่ทำลายต้องแสดงเหตุผล)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ระบุสถานที่เก็บและผู้รับผิดชอบการเก็บรักษาสิ่งส่งตรวจ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การควบคุมคุณภาพของคลังเก็บสิ่งส่งตรวจ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ความเป็นเจ้าของสิ่งส่งตรวจ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อธิบายว่าใครเป็นเจ้าของสิ่งส่งตรวจ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แจ้งอาสาสมัคร ถ้างานวิจัยจะนำไปสู่ผลประโยชน์ในเชิงพาณิชย์และระบุว่าอาสาสมัครจะได้รับผลประโยชน์ด้วยหรือไม่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การเข้าถึงข้อมูล ผลการตรวจทางพันธุกรรม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แจ้งว่า อาสาสมัครจะได้รับข้อมูลผลการตรวจหรือไม่ (ถ้าไม่ได้รับ ควรอธิบายเหตุผล)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ถ้ามีการแจ้งผล อธิบายกระบวนการ (เช่น การให้คำปรึกษาทางด้านพันธุศาสตร์) และช่วงเวลาของการแจ้งผลการตรวจ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ระบุนโยบายการป้องกันการเปิดเผยผลที่เกิดขึ้นโดยไม่ตั้งใจ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การนำสิ่งส่งตรวจไปใช้ในงานวิจัยอื่น Secondary Use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แจ้งอาสาสมัครว่า ผู้วิจัยอาจนำสิ่งส่งตรวจนี้ไปใช้งานวิจัยอื่น หรือในอนาคต โดยมีรหัสเชื่อมถึงอาสาสมัคร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ขอความยินยอมโดยสมัครใจ ในการนำสิ่งส่งตรวจนี้ไปใช้ในปัจจุบัน และในอนาคต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ให้ทางเลือกแก่อาสาสมัคร ถ้าจะมีการติดต่ออาสาสมัครอีก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อาสาสมัครอาจต้องการจำกัดการใช้สิ่งส่งตรวจ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ทางเลือก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322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อาสาสมัครอาจตัดสินใจ ไม่เข้าร่วมในการศึกษา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ความเสี่ยง Risks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ความเสี่ยงทางด้านสังคม: การเปิดเผยความลับอาจมีผลต่อความสัมพันธ์และฐานะทางสังคม (เช่น การทำประกันชีวิต การจ้างงาน สิทธิทางกฎหมาย หรือเป็นตราบาป)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ความเสี่ยงทางด้านจิตใจ: การเปิดเผยข้อมูลอาจมีผลต่อจิตใจ ทำให้เกิดความเครียดต่อตนเองและครอบครัว โดยเฉพาะอย่างยิ่ง ถ้าไม่มีวิธีการรักษา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ความเสี่ยงทางกายภาพ: ความเสี่ยงในกระบวนการเก็บสิ่งส่งตรวจเพื่องานวิจัยหรือในกระบวนการทำยีนบำบัด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1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ความเสี่ยงที่ยังไม่ทราบ: อาสาสมัครควรได้รับการบอกว่า อาจมีความเสี่ยงอื่นๆ ที่ยังไม่สามารถระบุได้ในขณะนี้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ข้อมูลอื่นๆ เกี่ยวกับความเสี่ยง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4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ข้อมูลปัจจุบันที่ทันสมัย เกี่ยวกับยีนและโรคที่ทำการวิจัย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4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มีวิธีการรักษาหรือไม่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4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ผู้วิจัยจะเก็บสิ่งส่งตรวจหรือเนื้อเยื่อเพิ่มเพื่อวัตถุประสงค์ในการรักษาหรือไม่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4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งานวิจัยนี้เกี่ยวข้องกับการทำยีนบำบัดหรือไม่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45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มีสมาชิกครอบครัวของอาสาสมัครในงานวิจัยหรือไม่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ประโยชน์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25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แจ้งอาสาสมัคร ถ้าอาสาสมัครจะไม่ได้รับประโยชน์โดยตรง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25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แจ้งอาสาสมัครว่า ไม่สามารถยืนยันเรื่องประโยชน์ที่คาดว่าจะได้รับ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25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แจ้งอาสาสมัคร เรื่องประโยชน์ที่คาดว่าจะได้รับ รวมทั้งประโยชน์ในเรื่ององค์ความรู้ ประโยชน์ด้านสุขภาพต่อตัวอาสาสมัคร ครอบครัว สังคม รวมถึงประโยชน์ในระยะยาว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การรักษาความลับของข้อมูลและความเป็นส่วนตัว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31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อธิบายกระบวนการรักษาความลับของข้อมูล ได้แก่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142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  <w:tab/>
              <w:t xml:space="preserve">มีการเชื่อมโยงสิ่งส่งตรวจกับอาสาสมัครหรือไม่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142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  <w:tab/>
              <w:t xml:space="preserve">มีมาตรการการรักษาความลับของข้อมูลเหมาะสมหรือไม่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142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  <w:tab/>
              <w:t xml:space="preserve">อธิบายข้อจำกัดของการรักษาความลับของข้อมูล (เช่น ใคร สามารถเข้าถึงข้อมูลได้ หรือกรณีใดต้องมีการเปิดเผยข้อมูล)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ระบุบุคคลที่สาม ที่อาจเข้าถึงข้อมูล เช่น ครอบครัว นายจ้าง แพทย์ผู้รักษา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พงศาวลีทางพันธุกรรม (pedigree) ไม่มีระบุชื่ออาสาสมัคร ในการตีพิมพ์ผลงานวิจัย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การตีพิมพ์ผลงานวิจัย ไม่มีการเปิดเผยชื่อของอาสาสมัคร (ยกเว้นแต่ได้รับอนุญาต)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ค่าใช้จ่าย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25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แจ้งอาสาสมัคร เรื่องค่าใช้จ่ายที่ไม่ครอบคลุมในการวิจัยนี้ เช่น ค่าใช้จ่ายในการให้คำปรึกษาด้านพันธุกรรมศาสตร์ ค่าใช้จ่ายของการปรึกษาปัญหาด้านสุขภาพจิต เป็นต้น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การมีข้อมูลผลการตรวจที่สำคัญ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อภิปรายแนวทาง เกี่ยวกับความต้องการของอาสาสมัครในการรับทราบข้อมูล ถ้าผลการตรวจในเวลาต่อมามีความเกี่ยวข้องกับสุขภาพ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การถอนตัวออกจากโครงการวิจัย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31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แจ้งว่า อาสาสมัครสามารถถอนตัวออกจากโครงการวิจัยได้ตลอดเวลา โดยไม่มีผลกระทบใดๆ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31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แจ้งกระบวนการที่อาสาสมัครสามารถขอให้ทำลายสิ่งส่งตรวจได้หรือ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31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แจ้งกระบวนการที่อาสาสมัครสามารถร้องขอให้ทำสิ่งส่งตรวจเป็นตัวอย่างนิรนาม หรือไม่มีรหัสที่สามารถเชื่อมโยงถึงตัวอาสาสมัครได้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31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อธิบายข้อจำกัดของอาสาสมัครในการถอนข้อมูลหรือตัวอย่างสิ่งส่งตรวจทางพันธุกรรม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จำนวนอาสาสมัครที่เข้าร่วมในโครงการวิจัย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3"/>
        <w:tblW w:w="963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ind w:left="-816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44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4395"/>
        </w:tabs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ลงชื่อผู้ประเมิน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24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(……………………………………………………………..)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12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                        วันที่……….../…….…../…….……</w:t>
        <w:tab/>
        <w:tab/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Courier New"/>
  <w:font w:name="SimSun-ExtB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90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9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93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04-S05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6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9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4 หน้า</w:t>
          </w:r>
        </w:p>
      </w:tc>
    </w:tr>
  </w:tbl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-"/>
      <w:lvlJc w:val="left"/>
      <w:pPr>
        <w:ind w:left="1179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1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3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7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9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39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-"/>
      <w:lvlJc w:val="left"/>
      <w:pPr>
        <w:ind w:left="1179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1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3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7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9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39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-"/>
      <w:lvlJc w:val="left"/>
      <w:pPr>
        <w:ind w:left="1037" w:hanging="360"/>
      </w:pPr>
      <w:rPr>
        <w:rFonts w:ascii="SimSun-ExtB" w:cs="SimSun-ExtB" w:eastAsia="SimSun-ExtB" w:hAnsi="SimSun-ExtB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Revision"/>
    <w:hidden w:val="1"/>
    <w:uiPriority w:val="99"/>
    <w:semiHidden w:val="1"/>
    <w:rsid w:val="00EF5858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peDUwYvx/+6zlUso5mcmrtxag==">CgMxLjA4AHIhMTJoN1lMM2FrSXFYSDJLM0JxeHRnRVZpVGxWbnlCNjE5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2020-04-12T03:44:00Z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