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แบบการทบทวนพิจารณาและนำเสนอเอกสารขอความยินยอมโดยได้รับข้อมูล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Informed Consent Review Form</w:t>
      </w:r>
    </w:p>
    <w:p w:rsidR="00000000" w:rsidDel="00000000" w:rsidP="00000000" w:rsidRDefault="00000000" w:rsidRPr="00000000" w14:paraId="00000003">
      <w:pPr>
        <w:jc w:val="righ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Waiver or modification of Informed Consent</w:t>
      </w:r>
    </w:p>
    <w:tbl>
      <w:tblPr>
        <w:tblStyle w:val="Table1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8"/>
        <w:gridCol w:w="3066"/>
        <w:tblGridChange w:id="0">
          <w:tblGrid>
            <w:gridCol w:w="5858"/>
            <w:gridCol w:w="30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การขอยกเว้นกระบวนการขอความยินยอม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  </w:t>
              <w:tab/>
              <w:t xml:space="preserve">[  ] ไม่มี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ถ้ามี เป็นไปตามเกณฑ์ใน 45 CFR 46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1804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ใช่  </w:t>
              <w:tab/>
              <w:t xml:space="preserve">[  ] ไม่ใช่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การขอยกเว้นการเซ็นหนังสือยินยอม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1804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  </w:t>
              <w:tab/>
              <w:t xml:space="preserve">[  ] ไม่มี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ถ้ามี เป็นไปตามเกณฑ์ใน 45 CFR 46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1804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ใช่  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Withholding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1804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  </w:t>
              <w:tab/>
              <w:t xml:space="preserve">[  ] ไม่มี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Active deceiving subjects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  <w:tab w:val="left" w:leader="none" w:pos="1804"/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  </w:t>
              <w:tab/>
              <w:t xml:space="preserve">[  ] ไม่มี</w:t>
            </w:r>
          </w:p>
        </w:tc>
      </w:tr>
    </w:tbl>
    <w:p w:rsidR="00000000" w:rsidDel="00000000" w:rsidP="00000000" w:rsidRDefault="00000000" w:rsidRPr="00000000" w14:paraId="00000017">
      <w:pPr>
        <w:ind w:left="709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2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Waiver or modification of Informed Consent</w:t>
            </w:r>
          </w:p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12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284" w:right="0" w:hanging="28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Information: sufficient information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3"/>
        <w:tblW w:w="8930.000000000002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992"/>
        <w:gridCol w:w="1276"/>
        <w:gridCol w:w="1275"/>
        <w:tblGridChange w:id="0">
          <w:tblGrid>
            <w:gridCol w:w="5387"/>
            <w:gridCol w:w="992"/>
            <w:gridCol w:w="1276"/>
            <w:gridCol w:w="12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ระบุเหตุผลในการเชิญเข้าร่วมการวิจัย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การเข้าร่วมโครงการเป็นโดยสมัครใจ ท่านมีสิทธิในการเข้าร่วม/ปฏิเสธการเข้าร่วมการวิจัย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สิทธิในการถอนตัวจากการวิจัยโดยไม่เสียสิทธิประโยชน์ที่พึงได้รับ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การแจ้งวัตถุประสงค์ของการวิจัย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ระบุแหล่งทุนสนับสนุน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สื่อความหมายชัดเจนว่าเป็นการเข้าร่วมวิจัย ไม่ใช่เข้ารับบริการ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ขั้นตอนการปฏิบัติตัวของอาสาสมัคร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ระบุความเสี่ยงและผลแทรกซ้อน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ระบุประโยชน์ที่ได้รับจากการเข้าร่วมวิจัย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วิธีการชักชวนอาสาสมัครเข้าสู่โครงการ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ทางเลือกอื่นหากไม่เข้าร่วมโครงการ (กรณีเป็น  clinical trial)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ค่าชดเชยหากบาดเจ็บจากการวิจัย (กรณีที่เป็น clinical trial)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ค่าตอบแทน/ค่าเดินทาง/ค่าชดเชยแก่อาสาสมัคร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ค่าใช้จ่ายที่ผู้เข้าร่วมการวิจัยต้องออกเอง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การเก็บรักษาความลับของอาสาสมัคร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 ที่อยู่และเบอร์โทรศัพท์ติดต่อผู้วิจัย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ที่อยู่และเบอร์โทรศัพท์ติดต่อคณะกรรมการ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วิธีการแสดงความยินยอมของอาสาสมัคร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left="709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4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sufficient information:</w:t>
            </w:r>
          </w:p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567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e7e6e6" w:val="clear"/>
          <w:vertAlign w:val="baseline"/>
          <w:rtl w:val="0"/>
        </w:rPr>
        <w:t xml:space="preserve">B. Comprehension: ใช้ภาษาที่ใช้เหมาะกับกลุ่มอายุ หรือกลุ่มชาติพันธุ์/ต่างชาติ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5"/>
        <w:tblW w:w="8930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1134"/>
        <w:gridCol w:w="1276"/>
        <w:gridCol w:w="1417"/>
        <w:tblGridChange w:id="0">
          <w:tblGrid>
            <w:gridCol w:w="5103"/>
            <w:gridCol w:w="1134"/>
            <w:gridCol w:w="1276"/>
            <w:gridCol w:w="14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การใช้ภาษาในเอกสารข้อมูลสำหรับผู้เข้าร่วมการวิจัย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การใช้ภาษาในเอกสารเชิญชวน สมุดบันทึก และเอกสารที่ให้กับผู้เข้าร่วมการวิจัย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การใช้ภาษาใน Flip chart, วิดีทัศน์ และสื่ออื่น ๆ ที่ใช้อธิบายประกอบการขอความยินยอม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การแปลภาษามีเอกสารรับรองการแปล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การลำดับเนื้อหา (organize) ให้เข้าใจง่าย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09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6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Comprehension:</w:t>
            </w:r>
          </w:p>
          <w:p w:rsidR="00000000" w:rsidDel="00000000" w:rsidP="00000000" w:rsidRDefault="00000000" w:rsidRPr="00000000" w14:paraId="0000008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Voluntariness: No coercion or undue influence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7"/>
        <w:tblW w:w="8930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1"/>
        <w:gridCol w:w="1134"/>
        <w:gridCol w:w="1275"/>
        <w:tblGridChange w:id="0">
          <w:tblGrid>
            <w:gridCol w:w="6521"/>
            <w:gridCol w:w="1134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ใช่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การเข้าร่วมโครงการเป็นโดยสมัครใจ ถ้าเข้าร่วมแล้วสามารถถอนตัวจากการวิจัยโดยไม่เสียสิทธิประโยชน์ที่พึงได้รับ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บุคคลมีเวลาและโอกาสในการตัดสินใจอย่างเพียงพอ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การจ่ายค่าตอบแทน/ค่าเดินทาง/ค่าใช้จ่าย/ค่าชดเชยแก่อาสาสมัคร ไม่เป็นการเชิญชวนเกินเหมาะสมจนบุคคลเข้าร่วมการวิจัยโดยไม่คำนึงถึงความเสี่ยงต่ออันตราย (undue influence)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ไม่มีข้อความที่ยกเว้นความผิดจากความประมาทเลินเล่อของผู้วิจัย (exculpatory language)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ind w:left="709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8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Voluntariness:</w:t>
            </w:r>
          </w:p>
          <w:p w:rsidR="00000000" w:rsidDel="00000000" w:rsidP="00000000" w:rsidRDefault="00000000" w:rsidRPr="00000000" w14:paraId="000000A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(……………………………………………………………..)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AC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AF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03-S05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5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."/>
      <w:lvlJc w:val="left"/>
      <w:pPr>
        <w:ind w:left="1211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B70C83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Zeh7qwhVHekZOb6j4194KsADnA==">CgMxLjA4AHIhMVZMU1F4WXI5YzVIaW0wYkpKUlVGNHlGQVNGUnBYYUlw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2020-04-12T01:30:00Z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