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แบบทบทวนพิจารณาโครงการวิจัยเครื่องมือแพทย์</w:t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</w:tabs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ab/>
        <w:t xml:space="preserve">Medical Device Review Form</w:t>
        <w:tab/>
      </w:r>
    </w:p>
    <w:p w:rsidR="00000000" w:rsidDel="00000000" w:rsidP="00000000" w:rsidRDefault="00000000" w:rsidRPr="00000000" w14:paraId="00000004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รหัสโครงการ (CREC No.)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ชื่อโครงการ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ชื่อหัวหน้าโครงการ</w:t>
      </w: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สังกัด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ชื่อกรรมการทบทวน</w:t>
      </w: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u w:val="single"/>
          <w:rtl w:val="0"/>
        </w:rPr>
        <w:t xml:space="preserve">                                                  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กำหนดส่งคืน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0cece" w:val="clear"/>
        <w:spacing w:after="0" w:before="0" w:line="240" w:lineRule="auto"/>
        <w:ind w:left="284" w:right="0" w:hanging="284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เครื่องมือแพทย์ที่วิจัยเข้าข่ายเครื่องมือแพทย์</w:t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16"/>
        <w:gridCol w:w="3112"/>
        <w:tblGridChange w:id="0">
          <w:tblGrid>
            <w:gridCol w:w="6516"/>
            <w:gridCol w:w="31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ind w:left="318" w:hanging="318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เครื่องมือ เครื่องใช้ เครื่องกล วัตถุที่ใช้ใส่เข้าไปในร่างกาย น้ำยาที่ใช้ตรวจในหรือนอกห้องปฏิบัติการ ผลิตภัณฑ์ ซอฟต์แวร์ หรือวัตถุอื่นใด ที่ผู้ผลิตหรือเจ้าของผลิตภัณฑ์มุ่งหมายเฉพาะสำหรับใช้อย่างหนึ่งอย่างใดกับมนุษย์หรือสัตว์ดังต่อไปนี้ ไม่ว่าจะใช้โดยลำพัง ใช้ร่วมกัน หรือใช้ประกอบกับสิ่งอื่นใด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วินิจฉัย ป้องกัน ติดตาม บาบัด บรรเทา หรือรักษาโรค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วินิจฉัย ติดตาม บำบัด บรรเทา หรือรักษาการบาดเจ็บ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ตรวจสอบ ทดแทน แก้ไข ดัดแปลง พยุง ค้า หรือจุนด้านกายวิภาคหรือกระบวนการทางสรีระของร่างกาย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ประคับประคองหรือช่วยชีวิต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คุมกำเนิดหรือช่วยการเจริญพันธุ์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ช่วยเหลือหรือช่วยชดเชยความทุพพลภาพหรือพิการ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ให้ข้อมูลจากการตรวจสิ่งส่งตรวจจากร่างกาย เพื่อวัตถุประสงค์ทางการแพทย์หรือการวินิจฉัย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ทำลายหรือฆ่าเชื้อสำหรับเครื่องมือแพทย์</w:t>
            </w:r>
          </w:p>
          <w:p w:rsidR="00000000" w:rsidDel="00000000" w:rsidP="00000000" w:rsidRDefault="00000000" w:rsidRPr="00000000" w14:paraId="00000014">
            <w:pPr>
              <w:ind w:left="318" w:hanging="318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อุปกรณ์เสริมสำหรับใช้ร่วมกับเครื่องมือแพทย์ตาม (1)</w:t>
            </w:r>
          </w:p>
          <w:p w:rsidR="00000000" w:rsidDel="00000000" w:rsidP="00000000" w:rsidRDefault="00000000" w:rsidRPr="00000000" w14:paraId="00000015">
            <w:pPr>
              <w:ind w:left="318" w:hanging="318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เครื่องมือ เครื่องใช้ เครื่องกล ผลิตภัณฑ์ หรือวัตถุอื่นที่รัฐมนตรีประกาศกำหนดว่าเป็นเครื่องมือแพทย์</w:t>
            </w:r>
          </w:p>
          <w:p w:rsidR="00000000" w:rsidDel="00000000" w:rsidP="00000000" w:rsidRDefault="00000000" w:rsidRPr="00000000" w14:paraId="00000016">
            <w:pPr>
              <w:ind w:left="454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ผลสัมฤทธิ์ตามความมุ่งหมายของสิ่งที่กล่าวถึงตาม (1) ซึ่งเกิดขึ้นในร่างกายมนุษย์หรือสัตว์ต้องไม่เกิดจากกระบวนการทางเภสัชวิทยา วิทยาภูมิคุ้มกัน หรือปฏิกิริยาเผาผลาญให้เกิดพลังงานเป็นหลัก 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ใช่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ไม่ใช่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สถานะการขึ้นทะเบียนกับ อ.ย. กระทรวงสาธารณสุข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มีเลขทะเบียนแล้ว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ยังไม่ได้ขึ้นทะเบียน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การขึ้นทะเบียนกับ US FDA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หรือ ได้รับ CE mark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มีแล้ว</w:t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ยังไม่มี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เป็นเครื่องมือแพทย์แบบใด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ผลิตในประเทศ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นำเข้า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ดัดแปลงจากของเดิม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มาตรฐานการผลิต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ISO13485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GMP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อื่น ๆ (ระบุ)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………………….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เอกสารแสดงคุณลักษณะเครื่องมือแพทย์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(specification)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investigator’s brochure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Specification sheet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ไม่มี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เอกสารแสดงวิธีการใช้เครื่องมือแพทย์ (operation manual)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มี</w:t>
              <w:tab/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ไม่มี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ผู้สนับสนุนการวิจัยแสดงประเภทความเสี่ยงของเครื่องมือแพทย์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มี</w:t>
              <w:tab/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ไม่มี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ถ้ามี จัดเป็น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US: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 NSR [  ] SR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EU: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Category………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Thai FDA: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Category……..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jc w:val="both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0cece" w:val="clear"/>
        <w:spacing w:after="0" w:before="0" w:line="240" w:lineRule="auto"/>
        <w:ind w:left="284" w:right="0" w:hanging="284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แผนการศึกษาวิจัยทางคลินิก (clinical investigation plan)</w:t>
      </w: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74"/>
        <w:gridCol w:w="3254"/>
        <w:tblGridChange w:id="0">
          <w:tblGrid>
            <w:gridCol w:w="6374"/>
            <w:gridCol w:w="32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หลักการและเหตุผล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272"/>
                <w:tab w:val="left" w:leader="none" w:pos="1437"/>
              </w:tabs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เหมาะสม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272"/>
                <w:tab w:val="left" w:leader="none" w:pos="1437"/>
              </w:tabs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ไม่เหมาะสม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วัตถุประสงค์แสดง intended use หรือ การวัดผลสัมฤทธิ์ (performance)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272"/>
                <w:tab w:val="left" w:leader="none" w:pos="1437"/>
              </w:tabs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ใช่</w:t>
              <w:tab/>
              <w:t xml:space="preserve">        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ไม่ใช่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ลักษณะการวิจัย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เป็นการพัฒนาเครื่องมือแพทย์ใหม่ที่มี intended use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เหมือนกับเครื่องมือแพทย์ที่วางจำหน่าย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เป็นการดัดแปลงเครื่องมือแพทย์เพื่อทดลองใช้ใน indication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เดิม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เป็นการดัดแปลงเครื่องมือแพทย์เพื่อทดลองใช้ใน indication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ใหม่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อื่น ๆ (ระบุ)...................................................................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272"/>
                <w:tab w:val="left" w:leader="none" w:pos="1437"/>
              </w:tabs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272"/>
                <w:tab w:val="left" w:leader="none" w:pos="1437"/>
              </w:tabs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272"/>
                <w:tab w:val="left" w:leader="none" w:pos="1437"/>
              </w:tabs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ใช่</w:t>
              <w:tab/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ไม่ใช่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272"/>
                <w:tab w:val="left" w:leader="none" w:pos="1437"/>
              </w:tabs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272"/>
                <w:tab w:val="left" w:leader="none" w:pos="1437"/>
              </w:tabs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ใช่</w:t>
              <w:tab/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ไม่ใช่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272"/>
                <w:tab w:val="left" w:leader="none" w:pos="1437"/>
              </w:tabs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ใช่</w:t>
              <w:tab/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ไม่ใช่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มีข้อมูลหรือเอกสารสรุปผลการทดลองก่อนหน้า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ind w:left="454" w:hanging="454"/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มีผลการทดสอบในห้องปฏิบัติการ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มีผลการทดสอบในสัตว์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มีผลการทดลองในคน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เอกสารแสดงวิธีการใช้เครื่องมือแพทย์ (operation manual)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272"/>
                <w:tab w:val="left" w:leader="none" w:pos="1424"/>
              </w:tabs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มี</w:t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ไม่มี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ผู้สนับสนุนการวิจัยแสดงประเภทความเสี่ยงของเครื่องมือแพทย์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310"/>
                <w:tab w:val="left" w:leader="none" w:pos="1449"/>
              </w:tabs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มี</w:t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ไม่มี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ถ้ามี จัดเป็น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US: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 NSR [  ] SR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EU: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Category………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jc w:val="both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ความเห็นของกรรมการผู้ทบทวนหลักเพื่อนำเสนอในที่ประชุมคณะกรรมการกลางฯ</w:t>
      </w:r>
    </w:p>
    <w:p w:rsidR="00000000" w:rsidDel="00000000" w:rsidP="00000000" w:rsidRDefault="00000000" w:rsidRPr="00000000" w14:paraId="00000051">
      <w:pPr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สรุปย่อโครงการวิจัย</w:t>
      </w:r>
    </w:p>
    <w:tbl>
      <w:tblPr>
        <w:tblStyle w:val="Table3"/>
        <w:tblW w:w="963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Sarabun" w:cs="Sarabun" w:eastAsia="Sarabun" w:hAnsi="Sarabu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58">
      <w:pPr>
        <w:tabs>
          <w:tab w:val="left" w:leader="none" w:pos="8505"/>
        </w:tabs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ประเภทเครื่องมือแพทย์</w:t>
        <w:tab/>
        <w:tab/>
      </w:r>
    </w:p>
    <w:p w:rsidR="00000000" w:rsidDel="00000000" w:rsidP="00000000" w:rsidRDefault="00000000" w:rsidRPr="00000000" w14:paraId="0000005A">
      <w:pPr>
        <w:ind w:left="1080" w:firstLine="195.99999999999994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 In vitro diagnostic medical device</w:t>
      </w:r>
    </w:p>
    <w:p w:rsidR="00000000" w:rsidDel="00000000" w:rsidP="00000000" w:rsidRDefault="00000000" w:rsidRPr="00000000" w14:paraId="0000005B">
      <w:pPr>
        <w:ind w:left="1080" w:firstLine="195.99999999999994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 Non- In vitro diagnostic medical device</w:t>
      </w:r>
    </w:p>
    <w:p w:rsidR="00000000" w:rsidDel="00000000" w:rsidP="00000000" w:rsidRDefault="00000000" w:rsidRPr="00000000" w14:paraId="0000005C">
      <w:pPr>
        <w:ind w:left="1800" w:firstLine="36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 Non-invasive </w:t>
        <w:tab/>
        <w:t xml:space="preserve">[  ] Invasive</w:t>
        <w:tab/>
        <w:t xml:space="preserve">[  ] Active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ประเภทความเสี่ยงที่ผู้ทบทวนได้ประเมินตามเกณฑ์กระทรวงสาธารณสุข</w:t>
      </w:r>
    </w:p>
    <w:p w:rsidR="00000000" w:rsidDel="00000000" w:rsidP="00000000" w:rsidRDefault="00000000" w:rsidRPr="00000000" w14:paraId="0000005E">
      <w:pPr>
        <w:ind w:left="1276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 IVD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0" w:right="0" w:hanging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ประเภทที่ 1- เครื่องมือแพทย์ที่มีความเสี่ยงต่ำต่อบุคคลและการสาธารณสุข (Class A Low Individual Risk and Low Public Health Risk)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0" w:right="0" w:hanging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ประเภทที่ 2- เครื่องมือแพทย์ที่มีความเสี่ยงปานกลางต่อบุคคลหรือความเสี่ยงต่ำต่อการสาธารณสุข (Class B. Moderate Individual Risk and/or Low Public Health Risk)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0" w:right="0" w:hanging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ประเภทที่ 3- เครื่องมือแพทย์ที่มีความเสี่ยงปานสูงต่อบุคคลหรือความเสี่ยงปานกลางต่อการสาธารณสุข (Class C. High Individual Risk and/or Moderate Public Health Risk)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0" w:right="0" w:hanging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ประเภทที่ 4- เครื่องมือแพทย์ที่มีความเสี่ยงสูงต่อบุคคลและการสาธารณสุข (Class D. High Individual Risk and High Public Health Risk)</w:t>
      </w:r>
    </w:p>
    <w:p w:rsidR="00000000" w:rsidDel="00000000" w:rsidP="00000000" w:rsidRDefault="00000000" w:rsidRPr="00000000" w14:paraId="00000063">
      <w:pPr>
        <w:ind w:left="1276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 Non-IVD</w:t>
      </w:r>
    </w:p>
    <w:p w:rsidR="00000000" w:rsidDel="00000000" w:rsidP="00000000" w:rsidRDefault="00000000" w:rsidRPr="00000000" w14:paraId="00000064">
      <w:pPr>
        <w:tabs>
          <w:tab w:val="left" w:leader="none" w:pos="2552"/>
        </w:tabs>
        <w:ind w:left="2268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[  ] ประเภทที่ 1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มีความเสี่ยงต่ำ (low risk)</w:t>
      </w:r>
    </w:p>
    <w:p w:rsidR="00000000" w:rsidDel="00000000" w:rsidP="00000000" w:rsidRDefault="00000000" w:rsidRPr="00000000" w14:paraId="00000065">
      <w:pPr>
        <w:tabs>
          <w:tab w:val="left" w:leader="none" w:pos="2552"/>
        </w:tabs>
        <w:ind w:left="2268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[  ] ประเภทที่ 2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มีความเสี่ยงปานกลางระดับต่ำ (low-moderate risk)</w:t>
      </w:r>
    </w:p>
    <w:p w:rsidR="00000000" w:rsidDel="00000000" w:rsidP="00000000" w:rsidRDefault="00000000" w:rsidRPr="00000000" w14:paraId="00000066">
      <w:pPr>
        <w:tabs>
          <w:tab w:val="left" w:leader="none" w:pos="2552"/>
        </w:tabs>
        <w:ind w:left="2268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[  ] ประเภทที่ 3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มีความเสี่ยงปานกลางระดับสูง (moderate-high risk)</w:t>
      </w:r>
    </w:p>
    <w:p w:rsidR="00000000" w:rsidDel="00000000" w:rsidP="00000000" w:rsidRDefault="00000000" w:rsidRPr="00000000" w14:paraId="00000067">
      <w:pPr>
        <w:tabs>
          <w:tab w:val="left" w:leader="none" w:pos="2552"/>
        </w:tabs>
        <w:ind w:left="2268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[  ] ประเภทที่ 4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มีความเสี่ยงสูง (high risk)</w:t>
      </w:r>
    </w:p>
    <w:p w:rsidR="00000000" w:rsidDel="00000000" w:rsidP="00000000" w:rsidRDefault="00000000" w:rsidRPr="00000000" w14:paraId="00000068">
      <w:pPr>
        <w:ind w:left="1276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การจัดประเภท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[  ] ตรง     [  ] ไม่ตรง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กับที่ผู้ผลิต/ผู้วิจัยหลัก ระบุ…………………………….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ระยะการวิจัย</w:t>
      </w:r>
    </w:p>
    <w:p w:rsidR="00000000" w:rsidDel="00000000" w:rsidP="00000000" w:rsidRDefault="00000000" w:rsidRPr="00000000" w14:paraId="0000006A">
      <w:pPr>
        <w:ind w:left="1276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 Exploratory (First-in-human and feasibility study)</w:t>
      </w:r>
    </w:p>
    <w:p w:rsidR="00000000" w:rsidDel="00000000" w:rsidP="00000000" w:rsidRDefault="00000000" w:rsidRPr="00000000" w14:paraId="0000006B">
      <w:pPr>
        <w:ind w:left="1276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 Pivotal (หา safety and efficacy/performance)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เกณฑ์คัดเข้า</w:t>
      </w:r>
    </w:p>
    <w:p w:rsidR="00000000" w:rsidDel="00000000" w:rsidP="00000000" w:rsidRDefault="00000000" w:rsidRPr="00000000" w14:paraId="0000006D">
      <w:pPr>
        <w:ind w:left="1276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 ผู้ใหญ่</w:t>
      </w:r>
    </w:p>
    <w:p w:rsidR="00000000" w:rsidDel="00000000" w:rsidP="00000000" w:rsidRDefault="00000000" w:rsidRPr="00000000" w14:paraId="0000006E">
      <w:pPr>
        <w:tabs>
          <w:tab w:val="left" w:leader="none" w:pos="2127"/>
        </w:tabs>
        <w:ind w:left="1276" w:firstLine="164.00000000000006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 xml:space="preserve">[  ] สุขภาพดี</w:t>
      </w:r>
    </w:p>
    <w:p w:rsidR="00000000" w:rsidDel="00000000" w:rsidP="00000000" w:rsidRDefault="00000000" w:rsidRPr="00000000" w14:paraId="0000006F">
      <w:pPr>
        <w:tabs>
          <w:tab w:val="left" w:leader="none" w:pos="2127"/>
        </w:tabs>
        <w:ind w:left="1276" w:firstLine="164.00000000000006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 xml:space="preserve">[  ] ผู้ป่วย โรค............................</w:t>
      </w:r>
    </w:p>
    <w:p w:rsidR="00000000" w:rsidDel="00000000" w:rsidP="00000000" w:rsidRDefault="00000000" w:rsidRPr="00000000" w14:paraId="00000070">
      <w:pPr>
        <w:ind w:left="1276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 เด็ก</w:t>
      </w:r>
    </w:p>
    <w:p w:rsidR="00000000" w:rsidDel="00000000" w:rsidP="00000000" w:rsidRDefault="00000000" w:rsidRPr="00000000" w14:paraId="00000071">
      <w:pPr>
        <w:tabs>
          <w:tab w:val="left" w:leader="none" w:pos="2127"/>
        </w:tabs>
        <w:ind w:left="1276" w:firstLine="164.00000000000006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 xml:space="preserve">[  ] สุขภาพดี</w:t>
      </w:r>
    </w:p>
    <w:p w:rsidR="00000000" w:rsidDel="00000000" w:rsidP="00000000" w:rsidRDefault="00000000" w:rsidRPr="00000000" w14:paraId="00000072">
      <w:pPr>
        <w:tabs>
          <w:tab w:val="left" w:leader="none" w:pos="2127"/>
        </w:tabs>
        <w:ind w:left="1276" w:firstLine="164.00000000000006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 xml:space="preserve">[  ] ผู้ป่วย โรค............................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เกณฑ์คัดออก (exclusion criteria)</w:t>
      </w:r>
    </w:p>
    <w:p w:rsidR="00000000" w:rsidDel="00000000" w:rsidP="00000000" w:rsidRDefault="00000000" w:rsidRPr="00000000" w14:paraId="00000074">
      <w:pPr>
        <w:ind w:left="1276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  ] เหมาะสม</w:t>
        <w:tab/>
        <w:t xml:space="preserve">[  ] ไม่เหมาะสม</w:t>
      </w:r>
    </w:p>
    <w:p w:rsidR="00000000" w:rsidDel="00000000" w:rsidP="00000000" w:rsidRDefault="00000000" w:rsidRPr="00000000" w14:paraId="00000075">
      <w:pPr>
        <w:ind w:left="709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ข้อแนะนำกรณีไม่เหมาะสม.............................................................................................. 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Scientific design ในภาพรวมความเหมาะสมของ intended purpose, outcome measure, data analysis</w:t>
      </w:r>
    </w:p>
    <w:p w:rsidR="00000000" w:rsidDel="00000000" w:rsidP="00000000" w:rsidRDefault="00000000" w:rsidRPr="00000000" w14:paraId="00000077">
      <w:pPr>
        <w:tabs>
          <w:tab w:val="left" w:leader="none" w:pos="9638"/>
        </w:tabs>
        <w:ind w:left="709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78">
      <w:pPr>
        <w:tabs>
          <w:tab w:val="left" w:leader="none" w:pos="9638"/>
        </w:tabs>
        <w:ind w:left="709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720" w:hanging="36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ความเสี่ยง วิธีการลดความเสี่ยง และ injury compensation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240" w:lineRule="auto"/>
        <w:ind w:left="72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240" w:lineRule="auto"/>
        <w:ind w:left="72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240" w:lineRule="auto"/>
        <w:ind w:left="72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720" w:hanging="36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คุณวุฒิ ประสบการณ์ และการฝึกอบรมของผู้ใช้เครื่องมือแพทย์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240" w:lineRule="auto"/>
        <w:ind w:left="72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240" w:lineRule="auto"/>
        <w:ind w:left="72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240" w:lineRule="auto"/>
        <w:ind w:left="72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720" w:hanging="36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ประเด็น vulnerability, privacy, confidentiality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240" w:lineRule="auto"/>
        <w:ind w:left="72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240" w:lineRule="auto"/>
        <w:ind w:left="72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240" w:lineRule="auto"/>
        <w:ind w:left="72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85">
      <w:pPr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 xml:space="preserve">สรุป risk /benefit categories</w:t>
      </w:r>
    </w:p>
    <w:tbl>
      <w:tblPr>
        <w:tblStyle w:val="Table4"/>
        <w:tblW w:w="9066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"/>
        <w:gridCol w:w="8230"/>
        <w:tblGridChange w:id="0">
          <w:tblGrid>
            <w:gridCol w:w="836"/>
            <w:gridCol w:w="82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Sarabun" w:cs="Sarabun" w:eastAsia="Sarabun" w:hAnsi="Sarabu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u w:val="single"/>
                <w:rtl w:val="0"/>
              </w:rPr>
              <w:t xml:space="preserve">[  ]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มีความเสี่ยงไม่เกินความเสี่ยงเล็กน้อย</w:t>
              <w:br w:type="textWrapping"/>
              <w:t xml:space="preserve">(Research not involving greater than minimal risk.)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Sarabun" w:cs="Sarabun" w:eastAsia="Sarabun" w:hAnsi="Sarabu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u w:val="single"/>
                <w:rtl w:val="0"/>
              </w:rPr>
              <w:t xml:space="preserve">[  ] </w:t>
            </w:r>
          </w:p>
          <w:p w:rsidR="00000000" w:rsidDel="00000000" w:rsidP="00000000" w:rsidRDefault="00000000" w:rsidRPr="00000000" w14:paraId="00000089">
            <w:pPr>
              <w:rPr>
                <w:rFonts w:ascii="Sarabun" w:cs="Sarabun" w:eastAsia="Sarabun" w:hAnsi="Sarabu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มีความเสี่ยงเกินกว่าความเสี่ยงเล็กน้อย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แต่มีประโยชน์ต่อตัวอาสาสมัครโดยตรง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(Research involving greater than minimal risk but presenting the prospect of direct benefit to the individual subjects.)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Sarabun" w:cs="Sarabun" w:eastAsia="Sarabun" w:hAnsi="Sarabu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u w:val="single"/>
                <w:rtl w:val="0"/>
              </w:rPr>
              <w:t xml:space="preserve">[  ]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83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มีความเสี่ยงเกินกว่าความเสี่ยงเล็กน้อย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และไม่มีประโยชน์ต่อตัวอาสาสมัครโดยตรง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แต่มีความเป็นไปได้ที่จะได้รับความรู้เกี่ยวกับโรคหรือสภาวะที่อาสาสมัครเป็น</w:t>
              <w:br w:type="textWrapping"/>
              <w:t xml:space="preserve">(Research involving greater than minimal risk and no prospect of direct benefit to individual subjects, but likely to yield generalizable knowledge about the subject's disorder or condition.)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Sarabun" w:cs="Sarabun" w:eastAsia="Sarabun" w:hAnsi="Sarabu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u w:val="single"/>
                <w:rtl w:val="0"/>
              </w:rPr>
              <w:t xml:space="preserve">[  ]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83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มีความเสี่ยงและประโยชน์ไม่ตรงกับที่กล่าวมาแล้วทั้งสามข้อ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แต่อาจมีโอกาสที่จะเข้าใจ หรือป้องกัน หรือบรรเทาปัญหาร้ายแรงที่กระทบสุขภาพและความเป็นอยู่ที่ดีของอาสาสมัคร (Research not otherwise approvable which presents an opportunity to understand, prevent, or alleviate a serious problem affecting the health or welfare of subjects.)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Sarabun" w:cs="Sarabun" w:eastAsia="Sarabun" w:hAnsi="Sarabu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 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ยังไม่สามารถสรุปได้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tabs>
          <w:tab w:val="left" w:leader="none" w:pos="360"/>
          <w:tab w:val="left" w:leader="none" w:pos="1260"/>
          <w:tab w:val="left" w:leader="none" w:pos="7380"/>
          <w:tab w:val="left" w:leader="none" w:pos="8460"/>
        </w:tabs>
        <w:ind w:right="-421"/>
        <w:rPr>
          <w:rFonts w:ascii="Sarabun" w:cs="Sarabun" w:eastAsia="Sarabun" w:hAnsi="Sarabun"/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360"/>
          <w:tab w:val="left" w:leader="none" w:pos="1260"/>
          <w:tab w:val="left" w:leader="none" w:pos="7380"/>
          <w:tab w:val="left" w:leader="none" w:pos="8460"/>
        </w:tabs>
        <w:ind w:right="-421"/>
        <w:rPr>
          <w:rFonts w:ascii="Sarabun" w:cs="Sarabun" w:eastAsia="Sarabun" w:hAnsi="Sarabun"/>
          <w:b w:val="1"/>
          <w:smallCaps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สรุปความเห็น (opinion) ของผู้ประเมิน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) รับรอง 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) ปรับปรุงแก้ไข เพื่อรับรอง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) ปรับปรุงแก้ไขและนำเข้าพิจารณาใหม่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) ไม่รับรอง โปรดระบุเหตุผล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             </w:t>
        <w:tab/>
        <w:tab/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ระยะเวลาการส่งรายงานความก้าวหน้าของโครงการวิจัย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  ] 3 เดือน</w:t>
        <w:tab/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  ]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เดือน </w:t>
        <w:tab/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  ]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เดือน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  <w:tab/>
        <w:t xml:space="preserve">[  ]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อื่นๆ ระบุ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440" w:right="0" w:firstLine="72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440" w:right="0" w:firstLine="72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4395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ลงชื่อผู้ประเมิน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6804"/>
        </w:tabs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(……………………………………………………………..)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6804"/>
        </w:tabs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วันที่……….../…….…../…….……</w:t>
      </w:r>
    </w:p>
    <w:p w:rsidR="00000000" w:rsidDel="00000000" w:rsidP="00000000" w:rsidRDefault="00000000" w:rsidRPr="00000000" w14:paraId="000000A1">
      <w:pPr>
        <w:tabs>
          <w:tab w:val="left" w:leader="none" w:pos="5760"/>
        </w:tabs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</w:rPr>
    </w:pPr>
    <w:r w:rsidDel="00000000" w:rsidR="00000000" w:rsidRPr="00000000">
      <w:rPr>
        <w:rtl w:val="0"/>
      </w:rPr>
    </w:r>
  </w:p>
  <w:tbl>
    <w:tblPr>
      <w:tblStyle w:val="Table5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A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A5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A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A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A8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AO 01-S07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A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A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B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A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A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E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6 หน้า</w:t>
          </w:r>
        </w:p>
      </w:tc>
    </w:tr>
  </w:tbl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644" w:hanging="359.99999999999994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644" w:hanging="359.99999999999994"/>
      </w:pPr>
      <w:rPr>
        <w:rFonts w:ascii="Sarabun" w:cs="Sarabun" w:eastAsia="Sarabun" w:hAnsi="Sarabu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(%2)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−"/>
      <w:lvlJc w:val="left"/>
      <w:pPr>
        <w:ind w:left="519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91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663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735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807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879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951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1023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10951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ngsana New" w:cs="Angsana New" w:eastAsia="Angsana New" w:hAnsi="Angsana New"/>
      <w:color w:val="000000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paragraph" w:styleId="31">
    <w:name w:val="Body Text 3"/>
    <w:basedOn w:val="a"/>
    <w:link w:val="32"/>
    <w:rsid w:val="00825B59"/>
    <w:pPr>
      <w:spacing w:after="120"/>
    </w:pPr>
    <w:rPr>
      <w:rFonts w:ascii="Times New Roman" w:cs="Angsana New" w:eastAsia="Times New Roman" w:hAnsi="Times New Roman"/>
      <w:sz w:val="16"/>
      <w:szCs w:val="20"/>
    </w:rPr>
  </w:style>
  <w:style w:type="character" w:styleId="32" w:customStyle="1">
    <w:name w:val="เนื้อความ 3 อักขระ"/>
    <w:basedOn w:val="a0"/>
    <w:link w:val="31"/>
    <w:rsid w:val="00825B59"/>
    <w:rPr>
      <w:rFonts w:ascii="Times New Roman" w:cs="Angsana New" w:eastAsia="Times New Roman" w:hAnsi="Times New Roman"/>
      <w:sz w:val="16"/>
      <w:szCs w:val="20"/>
      <w:lang w:bidi="th-TH"/>
    </w:rPr>
  </w:style>
  <w:style w:type="paragraph" w:styleId="a8">
    <w:name w:val="Body Text"/>
    <w:basedOn w:val="a"/>
    <w:link w:val="a9"/>
    <w:uiPriority w:val="99"/>
    <w:semiHidden w:val="1"/>
    <w:unhideWhenUsed w:val="1"/>
    <w:rsid w:val="00476F2B"/>
    <w:pPr>
      <w:spacing w:after="120"/>
    </w:pPr>
    <w:rPr>
      <w:rFonts w:cs="Angsana New"/>
      <w:szCs w:val="40"/>
    </w:rPr>
  </w:style>
  <w:style w:type="character" w:styleId="a9" w:customStyle="1">
    <w:name w:val="เนื้อความ อักขระ"/>
    <w:basedOn w:val="a0"/>
    <w:link w:val="a8"/>
    <w:uiPriority w:val="99"/>
    <w:semiHidden w:val="1"/>
    <w:rsid w:val="00476F2B"/>
    <w:rPr>
      <w:rFonts w:ascii="EucrosiaUPC" w:cs="Angsana New" w:eastAsia="Cordia New" w:hAnsi="EucrosiaUPC"/>
      <w:sz w:val="32"/>
      <w:szCs w:val="40"/>
      <w:lang w:bidi="th-TH"/>
    </w:rPr>
  </w:style>
  <w:style w:type="paragraph" w:styleId="21">
    <w:name w:val="Body Text Indent 2"/>
    <w:basedOn w:val="a"/>
    <w:link w:val="22"/>
    <w:rsid w:val="00476F2B"/>
    <w:pPr>
      <w:spacing w:after="120" w:line="480" w:lineRule="auto"/>
      <w:ind w:left="360"/>
    </w:pPr>
    <w:rPr>
      <w:rFonts w:ascii="Times New Roman" w:cs="Angsana New" w:eastAsia="Times New Roman" w:hAnsi="Times New Roman"/>
      <w:sz w:val="24"/>
      <w:szCs w:val="28"/>
      <w:lang w:eastAsia="x-none" w:val="x-none"/>
    </w:rPr>
  </w:style>
  <w:style w:type="character" w:styleId="22" w:customStyle="1">
    <w:name w:val="การเยื้องเนื้อความ 2 อักขระ"/>
    <w:basedOn w:val="a0"/>
    <w:link w:val="21"/>
    <w:rsid w:val="00476F2B"/>
    <w:rPr>
      <w:rFonts w:ascii="Times New Roman" w:cs="Angsana New" w:eastAsia="Times New Roman" w:hAnsi="Times New Roman"/>
      <w:sz w:val="24"/>
      <w:szCs w:val="28"/>
      <w:lang w:bidi="th-TH" w:eastAsia="x-none" w:val="x-none"/>
    </w:rPr>
  </w:style>
  <w:style w:type="paragraph" w:styleId="aa">
    <w:name w:val="List Paragraph"/>
    <w:basedOn w:val="a"/>
    <w:uiPriority w:val="34"/>
    <w:qFormat w:val="1"/>
    <w:rsid w:val="00476F2B"/>
    <w:pPr>
      <w:ind w:left="720"/>
      <w:contextualSpacing w:val="1"/>
    </w:pPr>
    <w:rPr>
      <w:rFonts w:cs="Angsana New"/>
      <w:szCs w:val="40"/>
    </w:rPr>
  </w:style>
  <w:style w:type="character" w:styleId="ab">
    <w:name w:val="Hyperlink"/>
    <w:semiHidden w:val="1"/>
    <w:unhideWhenUsed w:val="1"/>
    <w:rsid w:val="002B79A5"/>
    <w:rPr>
      <w:color w:val="0000ff"/>
      <w:u w:val="single"/>
    </w:rPr>
  </w:style>
  <w:style w:type="paragraph" w:styleId="ac">
    <w:name w:val="Plain Text"/>
    <w:aliases w:val="อักขระ"/>
    <w:basedOn w:val="a"/>
    <w:link w:val="ad"/>
    <w:uiPriority w:val="99"/>
    <w:rsid w:val="00A114BC"/>
    <w:rPr>
      <w:rFonts w:ascii="Courier New" w:cs="Angsana New" w:eastAsia="Times New Roman" w:hAnsi="Courier New"/>
      <w:sz w:val="20"/>
      <w:szCs w:val="20"/>
    </w:rPr>
  </w:style>
  <w:style w:type="character" w:styleId="ad" w:customStyle="1">
    <w:name w:val="ข้อความธรรมดา อักขระ"/>
    <w:aliases w:val="อักขระ อักขระ"/>
    <w:basedOn w:val="a0"/>
    <w:link w:val="ac"/>
    <w:uiPriority w:val="99"/>
    <w:rsid w:val="00A114BC"/>
    <w:rPr>
      <w:rFonts w:ascii="Courier New" w:cs="Angsana New" w:eastAsia="Times New Roman" w:hAnsi="Courier New"/>
      <w:sz w:val="20"/>
      <w:szCs w:val="20"/>
      <w:lang w:bidi="th-TH"/>
    </w:rPr>
  </w:style>
  <w:style w:type="paragraph" w:styleId="ae">
    <w:name w:val="Balloon Text"/>
    <w:basedOn w:val="a"/>
    <w:link w:val="af"/>
    <w:uiPriority w:val="99"/>
    <w:semiHidden w:val="1"/>
    <w:unhideWhenUsed w:val="1"/>
    <w:rsid w:val="00AB70BB"/>
    <w:rPr>
      <w:rFonts w:ascii="Times New Roman" w:cs="Angsana New" w:hAnsi="Times New Roman"/>
      <w:sz w:val="18"/>
      <w:szCs w:val="22"/>
    </w:rPr>
  </w:style>
  <w:style w:type="character" w:styleId="af" w:customStyle="1">
    <w:name w:val="ข้อความบอลลูน อักขระ"/>
    <w:basedOn w:val="a0"/>
    <w:link w:val="ae"/>
    <w:uiPriority w:val="99"/>
    <w:semiHidden w:val="1"/>
    <w:rsid w:val="00AB70BB"/>
    <w:rPr>
      <w:rFonts w:ascii="Times New Roman" w:cs="Angsana New" w:eastAsia="Cordia New" w:hAnsi="Times New Roman"/>
      <w:sz w:val="18"/>
      <w:lang w:bidi="th-TH"/>
    </w:rPr>
  </w:style>
  <w:style w:type="paragraph" w:styleId="af0">
    <w:name w:val="Title"/>
    <w:basedOn w:val="a"/>
    <w:link w:val="af1"/>
    <w:qFormat w:val="1"/>
    <w:rsid w:val="00AB70BB"/>
    <w:pPr>
      <w:autoSpaceDE w:val="0"/>
      <w:autoSpaceDN w:val="0"/>
      <w:adjustRightInd w:val="0"/>
      <w:jc w:val="center"/>
    </w:pPr>
    <w:rPr>
      <w:rFonts w:ascii="Angsana New" w:cs="Angsana New" w:eastAsia="Times New Roman" w:hAnsi="Angsana New"/>
      <w:color w:val="000000"/>
    </w:rPr>
  </w:style>
  <w:style w:type="character" w:styleId="af1" w:customStyle="1">
    <w:name w:val="ชื่อเรื่อง อักขระ"/>
    <w:basedOn w:val="a0"/>
    <w:link w:val="af0"/>
    <w:rsid w:val="00AB70BB"/>
    <w:rPr>
      <w:rFonts w:ascii="Angsana New" w:cs="Angsana New" w:eastAsia="Times New Roman" w:hAnsi="Angsana New"/>
      <w:color w:val="000000"/>
      <w:sz w:val="32"/>
      <w:szCs w:val="32"/>
      <w:lang w:bidi="th-TH"/>
    </w:rPr>
  </w:style>
  <w:style w:type="paragraph" w:styleId="af2">
    <w:name w:val="Revision"/>
    <w:hidden w:val="1"/>
    <w:uiPriority w:val="99"/>
    <w:semiHidden w:val="1"/>
    <w:rsid w:val="008645E3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A02a9bkOOJD8MY5IM0pcScgXug==">CgMxLjAyCGguZ2pkZ3hzOAByITFMbWloUFc3RklOSUNuQkY4c19vQmhqRG9VSnh6WGw4ag==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2022-12-21T06:17:00Z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