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28" w:rsidRPr="00592D4E" w:rsidRDefault="00296928" w:rsidP="00592D4E">
      <w:pPr>
        <w:pStyle w:val="Heading1"/>
      </w:pPr>
      <w:r w:rsidRPr="00592D4E">
        <w:t>GENERAL</w:t>
      </w:r>
    </w:p>
    <w:p w:rsidR="00296928" w:rsidRPr="00592D4E" w:rsidRDefault="00296928" w:rsidP="00592D4E">
      <w:pPr>
        <w:pStyle w:val="Heading2"/>
      </w:pPr>
      <w:r w:rsidRPr="00592D4E">
        <w:t>INTENT OF SPECIFICATIONS</w:t>
      </w:r>
    </w:p>
    <w:p w:rsidR="00296928" w:rsidRPr="00D73C21" w:rsidRDefault="00296928" w:rsidP="003F10FC">
      <w:pPr>
        <w:pStyle w:val="Heading3"/>
      </w:pPr>
      <w:r w:rsidRPr="00CB508C">
        <w:t xml:space="preserve">This specification details the requirements for an AEGIS 2.0 Single Hazard Suppression Fire Alarm Control Unit (FACU). These requirements, combined </w:t>
      </w:r>
      <w:r w:rsidRPr="00D73C21">
        <w:t>with good engineering practices must be followed in order to produce a safe and effective fire protection and suppression system.</w:t>
      </w:r>
    </w:p>
    <w:p w:rsidR="00647CF4" w:rsidRDefault="00406F63" w:rsidP="00647CF4">
      <w:pPr>
        <w:pStyle w:val="Heading3"/>
      </w:pPr>
      <w:r w:rsidRPr="00D73C21">
        <w:t xml:space="preserve">All system components shall be manufactured and/or supplied by Kidde Fire Systems, 400 Main Street, Ashland, MA 01721, USA; Phone (508) 881-2000; URL: http:// </w:t>
      </w:r>
      <w:hyperlink r:id="rId8" w:history="1">
        <w:r w:rsidR="00647CF4" w:rsidRPr="000D1B1C">
          <w:rPr>
            <w:rStyle w:val="Hyperlink"/>
          </w:rPr>
          <w:t>www.kiddefiresystems.com</w:t>
        </w:r>
      </w:hyperlink>
    </w:p>
    <w:p w:rsidR="00296928" w:rsidRDefault="00406F63" w:rsidP="00647CF4">
      <w:pPr>
        <w:pStyle w:val="Heading3"/>
      </w:pPr>
      <w:r w:rsidRPr="00D73C21">
        <w:t>All materials and equipment shall be new and unused</w:t>
      </w:r>
    </w:p>
    <w:p w:rsidR="00296928" w:rsidRPr="003F10FC" w:rsidRDefault="00296928" w:rsidP="003F10FC"/>
    <w:p w:rsidR="00990700" w:rsidRPr="00D73C21" w:rsidRDefault="00990700" w:rsidP="00990700">
      <w:pPr>
        <w:pStyle w:val="Heading2"/>
      </w:pPr>
      <w:r w:rsidRPr="00D73C21">
        <w:t>GENERAL DESCRIPTION</w:t>
      </w:r>
    </w:p>
    <w:p w:rsidR="00990700" w:rsidRDefault="00990700" w:rsidP="00990700">
      <w:pPr>
        <w:pStyle w:val="Heading3"/>
      </w:pPr>
      <w:r w:rsidRPr="006C2E60">
        <w:t xml:space="preserve">The </w:t>
      </w:r>
      <w:r w:rsidRPr="003F10FC">
        <w:rPr>
          <w:highlight w:val="yellow"/>
        </w:rPr>
        <w:t xml:space="preserve">Fire Alarm Control </w:t>
      </w:r>
      <w:r w:rsidR="00AF4EBD">
        <w:rPr>
          <w:highlight w:val="yellow"/>
        </w:rPr>
        <w:t>Unit</w:t>
      </w:r>
      <w:r w:rsidRPr="006C2E60">
        <w:t xml:space="preserve"> shall consist of a Control Unit that provides control for all devices that make up the complete system. </w:t>
      </w:r>
    </w:p>
    <w:p w:rsidR="00990700" w:rsidRPr="006C2E60" w:rsidRDefault="00990700" w:rsidP="00990700">
      <w:pPr>
        <w:pStyle w:val="Heading3"/>
      </w:pPr>
      <w:r w:rsidRPr="006C2E60">
        <w:t>The AEGIS 2.0 FACU shall perform fire alarm, supervisory, and trouble event initiation; occupant notification; event annunciation; local control functions</w:t>
      </w:r>
      <w:r>
        <w:t xml:space="preserve"> and </w:t>
      </w:r>
      <w:r w:rsidRPr="006C2E60">
        <w:t>fir</w:t>
      </w:r>
      <w:r>
        <w:t>e extinguishing system release</w:t>
      </w:r>
      <w:r w:rsidRPr="006C2E60">
        <w:t>.</w:t>
      </w:r>
    </w:p>
    <w:p w:rsidR="00990700" w:rsidRDefault="00990700" w:rsidP="00990700">
      <w:pPr>
        <w:pStyle w:val="Heading3"/>
      </w:pPr>
      <w:r w:rsidRPr="00D73C21">
        <w:t xml:space="preserve">The FACU shall have dual release capabilities, where each release circuit shall be capable of complete independent operation with different time delays and abort functions. </w:t>
      </w:r>
    </w:p>
    <w:p w:rsidR="00990700" w:rsidRPr="00DF7697" w:rsidRDefault="00990700" w:rsidP="00990700">
      <w:pPr>
        <w:pStyle w:val="Heading3"/>
      </w:pPr>
      <w:r>
        <w:t xml:space="preserve">FACUs intended for suppression release function shall feature release circuits </w:t>
      </w:r>
      <w:r w:rsidRPr="00DF7697">
        <w:t>protected against ina</w:t>
      </w:r>
      <w:r>
        <w:t xml:space="preserve">dvertent activation by a Triple Failure </w:t>
      </w:r>
      <w:r w:rsidRPr="00DF7697">
        <w:t xml:space="preserve">Redundancy </w:t>
      </w:r>
      <w:r>
        <w:t xml:space="preserve">(Triple-R™) </w:t>
      </w:r>
      <w:r w:rsidRPr="00DF7697">
        <w:t>safeguard system</w:t>
      </w:r>
      <w:r>
        <w:t xml:space="preserve"> that shall require </w:t>
      </w:r>
      <w:r w:rsidRPr="00DF7697">
        <w:t>the microprocessor to issue two commands</w:t>
      </w:r>
      <w:r>
        <w:t xml:space="preserve"> </w:t>
      </w:r>
      <w:r w:rsidRPr="00DF7697">
        <w:t xml:space="preserve">of opposite polarity via </w:t>
      </w:r>
      <w:r>
        <w:t xml:space="preserve">two </w:t>
      </w:r>
      <w:r w:rsidRPr="00DF7697">
        <w:t>separate signaling channels, combined with a signal from the FACU’s watchdog timer confirming proper microprocessor op</w:t>
      </w:r>
      <w:r>
        <w:t>eration, prior to activation. FACUs featuring release circuits that are not similarly protected or those that use simple notification appliance circuits to control agent release shall not be accepted as equal.</w:t>
      </w:r>
    </w:p>
    <w:p w:rsidR="00990700" w:rsidRDefault="00990700" w:rsidP="00990700">
      <w:pPr>
        <w:pStyle w:val="Heading3"/>
      </w:pPr>
      <w:r w:rsidRPr="00D73C21">
        <w:t>All System components provided with a key-lock feature shall be keyed alike.</w:t>
      </w:r>
    </w:p>
    <w:p w:rsidR="00990700" w:rsidRDefault="00990700" w:rsidP="00990700">
      <w:pPr>
        <w:pStyle w:val="Heading2"/>
        <w:numPr>
          <w:ilvl w:val="0"/>
          <w:numId w:val="0"/>
        </w:numPr>
        <w:ind w:left="720"/>
      </w:pPr>
    </w:p>
    <w:p w:rsidR="00296928" w:rsidRPr="00D73C21" w:rsidRDefault="00296928" w:rsidP="00592D4E">
      <w:pPr>
        <w:pStyle w:val="Heading2"/>
      </w:pPr>
      <w:r w:rsidRPr="00D73C21">
        <w:t>CODES AND COMPLIANCE</w:t>
      </w:r>
    </w:p>
    <w:p w:rsidR="00296928" w:rsidRPr="00592D4E" w:rsidRDefault="00296928" w:rsidP="00592D4E">
      <w:pPr>
        <w:pStyle w:val="Heading3"/>
      </w:pPr>
      <w:r w:rsidRPr="00592D4E">
        <w:t>The design, installation, testing and maintenance of the integrated fire suppression system shall be in accordance with the following applicable codes, standards and regulatory bodies:</w:t>
      </w:r>
    </w:p>
    <w:p w:rsidR="00296928" w:rsidRPr="00D73C21" w:rsidRDefault="00296928" w:rsidP="00592D4E">
      <w:pPr>
        <w:pStyle w:val="Heading4"/>
      </w:pPr>
      <w:r w:rsidRPr="00D73C21">
        <w:t>NFPA 12:</w:t>
      </w:r>
      <w:r w:rsidRPr="00D73C21">
        <w:tab/>
      </w:r>
      <w:r w:rsidRPr="00D73C21">
        <w:tab/>
      </w:r>
      <w:r w:rsidR="00883D6A">
        <w:tab/>
      </w:r>
      <w:r w:rsidRPr="00D73C21">
        <w:t>Carbon Dioxide Extinguishing Systems</w:t>
      </w:r>
    </w:p>
    <w:p w:rsidR="00296928" w:rsidRPr="00D73C21" w:rsidRDefault="00296928" w:rsidP="00592D4E">
      <w:pPr>
        <w:pStyle w:val="Heading4"/>
      </w:pPr>
      <w:r w:rsidRPr="00D73C21">
        <w:t xml:space="preserve">NFPA 12A: </w:t>
      </w:r>
      <w:r w:rsidRPr="00D73C21">
        <w:tab/>
      </w:r>
      <w:r w:rsidR="00883D6A">
        <w:tab/>
      </w:r>
      <w:r w:rsidRPr="00D73C21">
        <w:tab/>
      </w:r>
      <w:proofErr w:type="spellStart"/>
      <w:r w:rsidRPr="00D73C21">
        <w:t>Halon</w:t>
      </w:r>
      <w:proofErr w:type="spellEnd"/>
      <w:r w:rsidRPr="00D73C21">
        <w:t xml:space="preserve"> 1301 Fire Extinguishing Systems</w:t>
      </w:r>
    </w:p>
    <w:p w:rsidR="00296928" w:rsidRPr="00D73C21" w:rsidRDefault="00296928" w:rsidP="00592D4E">
      <w:pPr>
        <w:pStyle w:val="Heading4"/>
      </w:pPr>
      <w:r w:rsidRPr="00D73C21">
        <w:t>NFPA 13:</w:t>
      </w:r>
      <w:r w:rsidRPr="00D73C21">
        <w:tab/>
      </w:r>
      <w:r w:rsidRPr="00D73C21">
        <w:tab/>
      </w:r>
      <w:r w:rsidR="00883D6A">
        <w:tab/>
      </w:r>
      <w:r w:rsidRPr="00D73C21">
        <w:t>Sprinkler</w:t>
      </w:r>
    </w:p>
    <w:p w:rsidR="00296928" w:rsidRPr="00D73C21" w:rsidRDefault="00296928" w:rsidP="00592D4E">
      <w:pPr>
        <w:pStyle w:val="Heading4"/>
      </w:pPr>
      <w:r w:rsidRPr="00D73C21">
        <w:t>NFPA 15:</w:t>
      </w:r>
      <w:r w:rsidRPr="00D73C21">
        <w:tab/>
      </w:r>
      <w:r w:rsidRPr="00D73C21">
        <w:tab/>
      </w:r>
      <w:r w:rsidR="00883D6A">
        <w:tab/>
      </w:r>
      <w:r w:rsidRPr="00D73C21">
        <w:t>Water Spray Fixed</w:t>
      </w:r>
    </w:p>
    <w:p w:rsidR="00296928" w:rsidRPr="00D73C21" w:rsidRDefault="00296928" w:rsidP="00592D4E">
      <w:pPr>
        <w:pStyle w:val="Heading4"/>
      </w:pPr>
      <w:r w:rsidRPr="00D73C21">
        <w:t>NFPA 16:</w:t>
      </w:r>
      <w:r w:rsidRPr="00D73C21">
        <w:tab/>
      </w:r>
      <w:r w:rsidRPr="00D73C21">
        <w:tab/>
      </w:r>
      <w:r w:rsidR="00883D6A">
        <w:tab/>
      </w:r>
      <w:r w:rsidRPr="00D73C21">
        <w:t>Foam Water</w:t>
      </w:r>
    </w:p>
    <w:p w:rsidR="00296928" w:rsidRPr="00D73C21" w:rsidRDefault="00296928" w:rsidP="00592D4E">
      <w:pPr>
        <w:pStyle w:val="Heading4"/>
      </w:pPr>
      <w:r w:rsidRPr="00D73C21">
        <w:t>NFPA 17:</w:t>
      </w:r>
      <w:r w:rsidRPr="00D73C21">
        <w:tab/>
      </w:r>
      <w:r w:rsidRPr="00D73C21">
        <w:tab/>
      </w:r>
      <w:r w:rsidR="00883D6A">
        <w:tab/>
      </w:r>
      <w:r w:rsidRPr="00D73C21">
        <w:t>Dry Chemical</w:t>
      </w:r>
    </w:p>
    <w:p w:rsidR="00296928" w:rsidRPr="00D73C21" w:rsidRDefault="00296928" w:rsidP="00592D4E">
      <w:pPr>
        <w:pStyle w:val="Heading4"/>
      </w:pPr>
      <w:r w:rsidRPr="00D73C21">
        <w:t>NFPA 17A:</w:t>
      </w:r>
      <w:r w:rsidRPr="00D73C21">
        <w:tab/>
      </w:r>
      <w:r w:rsidRPr="00D73C21">
        <w:tab/>
      </w:r>
      <w:r w:rsidR="00883D6A">
        <w:tab/>
      </w:r>
      <w:r w:rsidRPr="00D73C21">
        <w:t>Wet Chemical</w:t>
      </w:r>
    </w:p>
    <w:p w:rsidR="00296928" w:rsidRPr="00D73C21" w:rsidRDefault="00296928" w:rsidP="00592D4E">
      <w:pPr>
        <w:pStyle w:val="Heading4"/>
      </w:pPr>
      <w:r w:rsidRPr="00D73C21">
        <w:t xml:space="preserve">NFPA 750: </w:t>
      </w:r>
      <w:r w:rsidRPr="00D73C21">
        <w:tab/>
      </w:r>
      <w:r w:rsidRPr="00D73C21">
        <w:tab/>
      </w:r>
      <w:r w:rsidR="00883D6A">
        <w:tab/>
      </w:r>
      <w:r w:rsidRPr="00D73C21">
        <w:t>Water Mist</w:t>
      </w:r>
    </w:p>
    <w:p w:rsidR="00296928" w:rsidRPr="00D73C21" w:rsidRDefault="00296928" w:rsidP="00592D4E">
      <w:pPr>
        <w:pStyle w:val="Heading4"/>
      </w:pPr>
      <w:r w:rsidRPr="00D73C21">
        <w:t xml:space="preserve">NFPA 2001: </w:t>
      </w:r>
      <w:r w:rsidRPr="00D73C21">
        <w:tab/>
      </w:r>
      <w:r w:rsidRPr="00D73C21">
        <w:tab/>
        <w:t>Clean Agent Fire Extinguishing Systems</w:t>
      </w:r>
    </w:p>
    <w:p w:rsidR="00296928" w:rsidRPr="00D73C21" w:rsidRDefault="00296928" w:rsidP="00592D4E">
      <w:pPr>
        <w:pStyle w:val="Heading4"/>
      </w:pPr>
      <w:r w:rsidRPr="00D73C21">
        <w:t xml:space="preserve">NFPA 70: </w:t>
      </w:r>
      <w:r w:rsidRPr="00D73C21">
        <w:tab/>
      </w:r>
      <w:r w:rsidRPr="00D73C21">
        <w:tab/>
      </w:r>
      <w:r w:rsidR="00883D6A">
        <w:tab/>
      </w:r>
      <w:r w:rsidRPr="00D73C21">
        <w:t>National Electrical Code (NEC)</w:t>
      </w:r>
    </w:p>
    <w:p w:rsidR="00296928" w:rsidRPr="00D73C21" w:rsidRDefault="00296928" w:rsidP="00592D4E">
      <w:pPr>
        <w:pStyle w:val="Heading4"/>
      </w:pPr>
      <w:r w:rsidRPr="00D73C21">
        <w:t xml:space="preserve">NFPA 72: </w:t>
      </w:r>
      <w:r w:rsidRPr="00D73C21">
        <w:tab/>
      </w:r>
      <w:r w:rsidRPr="00D73C21">
        <w:tab/>
      </w:r>
      <w:r w:rsidR="00883D6A">
        <w:tab/>
      </w:r>
      <w:r w:rsidRPr="00D73C21">
        <w:t>National Fire Alarm and Signaling Code</w:t>
      </w:r>
    </w:p>
    <w:p w:rsidR="00296928" w:rsidRPr="00D73C21" w:rsidRDefault="00296928" w:rsidP="00592D4E">
      <w:pPr>
        <w:pStyle w:val="Heading4"/>
      </w:pPr>
      <w:r w:rsidRPr="00D73C21">
        <w:t xml:space="preserve">NFPA 75: </w:t>
      </w:r>
      <w:r w:rsidRPr="00D73C21">
        <w:tab/>
      </w:r>
      <w:r w:rsidRPr="00D73C21">
        <w:tab/>
      </w:r>
      <w:r w:rsidR="00883D6A">
        <w:tab/>
      </w:r>
      <w:r w:rsidRPr="00D73C21">
        <w:t>Protection of Electronic Computer/Data Process Equipment</w:t>
      </w:r>
    </w:p>
    <w:p w:rsidR="00296928" w:rsidRPr="00D73C21" w:rsidRDefault="00296928" w:rsidP="00592D4E">
      <w:pPr>
        <w:pStyle w:val="Heading4"/>
      </w:pPr>
      <w:r w:rsidRPr="00D73C21">
        <w:t xml:space="preserve">NFPA 76: </w:t>
      </w:r>
      <w:r w:rsidRPr="00D73C21">
        <w:tab/>
      </w:r>
      <w:r w:rsidRPr="00D73C21">
        <w:tab/>
      </w:r>
      <w:r w:rsidR="00883D6A">
        <w:tab/>
      </w:r>
      <w:r w:rsidRPr="00D73C21">
        <w:t>Fire Protection for Telecommunications Systems</w:t>
      </w:r>
    </w:p>
    <w:p w:rsidR="00296928" w:rsidRPr="00D73C21" w:rsidRDefault="00296928" w:rsidP="00592D4E">
      <w:pPr>
        <w:pStyle w:val="Heading4"/>
      </w:pPr>
      <w:r w:rsidRPr="00D73C21">
        <w:t>NFPA 92A:</w:t>
      </w:r>
      <w:r w:rsidRPr="00D73C21">
        <w:tab/>
      </w:r>
      <w:r w:rsidRPr="00D73C21">
        <w:tab/>
      </w:r>
      <w:r w:rsidR="00883D6A">
        <w:tab/>
      </w:r>
      <w:r w:rsidRPr="00D73C21">
        <w:t>Recommended Practice for Smoke Control Systems</w:t>
      </w:r>
    </w:p>
    <w:p w:rsidR="00296928" w:rsidRPr="00D73C21" w:rsidRDefault="00296928" w:rsidP="00592D4E">
      <w:pPr>
        <w:pStyle w:val="Heading4"/>
      </w:pPr>
      <w:r w:rsidRPr="00D73C21">
        <w:t>UL 864, 9th edition:</w:t>
      </w:r>
      <w:r w:rsidRPr="00D73C21">
        <w:tab/>
        <w:t>Control Units and Accessories for Fire Alarm Systems</w:t>
      </w:r>
    </w:p>
    <w:p w:rsidR="00296928" w:rsidRPr="00D73C21" w:rsidRDefault="00296928" w:rsidP="00592D4E">
      <w:pPr>
        <w:pStyle w:val="Heading4"/>
      </w:pPr>
      <w:r w:rsidRPr="00D73C21">
        <w:t xml:space="preserve">UL 2166: </w:t>
      </w:r>
      <w:r w:rsidRPr="00D73C21">
        <w:tab/>
      </w:r>
      <w:r w:rsidRPr="00D73C21">
        <w:tab/>
      </w:r>
      <w:r w:rsidR="00883D6A">
        <w:tab/>
      </w:r>
      <w:r w:rsidRPr="00D73C21">
        <w:t>Halocarbon Clean Agent Extinguishing System Units</w:t>
      </w:r>
    </w:p>
    <w:p w:rsidR="00296928" w:rsidRPr="00D73C21" w:rsidRDefault="00296928" w:rsidP="00592D4E">
      <w:pPr>
        <w:pStyle w:val="Heading4"/>
      </w:pPr>
      <w:r w:rsidRPr="00D73C21">
        <w:t>UL 268:</w:t>
      </w:r>
      <w:r w:rsidRPr="00D73C21">
        <w:tab/>
      </w:r>
      <w:r w:rsidRPr="00D73C21">
        <w:tab/>
      </w:r>
      <w:r w:rsidRPr="00D73C21">
        <w:tab/>
      </w:r>
      <w:r w:rsidR="00883D6A">
        <w:tab/>
      </w:r>
      <w:r w:rsidRPr="00D73C21">
        <w:t>Standard for Smoke Detectors for Open Areas</w:t>
      </w:r>
    </w:p>
    <w:p w:rsidR="00296928" w:rsidRPr="00D73C21" w:rsidRDefault="00296928" w:rsidP="00592D4E">
      <w:pPr>
        <w:pStyle w:val="Heading4"/>
      </w:pPr>
      <w:r w:rsidRPr="00D73C21">
        <w:t>UL 268A:</w:t>
      </w:r>
      <w:r w:rsidRPr="00D73C21">
        <w:tab/>
      </w:r>
      <w:r w:rsidRPr="00D73C21">
        <w:tab/>
      </w:r>
      <w:r w:rsidR="00883D6A">
        <w:tab/>
      </w:r>
      <w:r w:rsidRPr="00D73C21">
        <w:t>Standard for Smoke Detectors for Duct Application</w:t>
      </w:r>
    </w:p>
    <w:p w:rsidR="00296928" w:rsidRPr="00D73C21" w:rsidRDefault="00296928" w:rsidP="00592D4E">
      <w:pPr>
        <w:pStyle w:val="Heading4"/>
      </w:pPr>
      <w:r w:rsidRPr="00D73C21">
        <w:t xml:space="preserve">ANSI B1.20.1: </w:t>
      </w:r>
      <w:r w:rsidRPr="00D73C21">
        <w:tab/>
      </w:r>
      <w:r w:rsidRPr="00D73C21">
        <w:tab/>
        <w:t>Standard for Pipe Threads, General Purpose</w:t>
      </w:r>
    </w:p>
    <w:p w:rsidR="00296928" w:rsidRPr="00D73C21" w:rsidRDefault="00296928" w:rsidP="00592D4E">
      <w:pPr>
        <w:pStyle w:val="Heading4"/>
      </w:pPr>
      <w:r w:rsidRPr="00D73C21">
        <w:t xml:space="preserve">Factory Mutual </w:t>
      </w:r>
    </w:p>
    <w:p w:rsidR="00296928" w:rsidRPr="00D73C21" w:rsidRDefault="00296928" w:rsidP="00592D4E">
      <w:pPr>
        <w:pStyle w:val="Heading4"/>
      </w:pPr>
      <w:r w:rsidRPr="00D73C21">
        <w:t>Requirements of the Local Authority Having Jurisdiction</w:t>
      </w:r>
    </w:p>
    <w:p w:rsidR="00296928" w:rsidRPr="00D73C21" w:rsidRDefault="00296928" w:rsidP="00592D4E">
      <w:pPr>
        <w:pStyle w:val="Heading4"/>
      </w:pPr>
      <w:r w:rsidRPr="00D73C21">
        <w:t>Manufacturer’s Design, Installation, Operation &amp; Maintenance Manual</w:t>
      </w:r>
    </w:p>
    <w:p w:rsidR="00296928" w:rsidRPr="00D73C21" w:rsidRDefault="00296928" w:rsidP="00296928">
      <w:pPr>
        <w:spacing w:after="0"/>
        <w:ind w:left="1440"/>
        <w:jc w:val="both"/>
        <w:rPr>
          <w:rFonts w:asciiTheme="minorHAnsi" w:hAnsiTheme="minorHAnsi" w:cstheme="minorHAnsi"/>
          <w:sz w:val="20"/>
        </w:rPr>
      </w:pPr>
    </w:p>
    <w:p w:rsidR="00296928" w:rsidRPr="00D73C21" w:rsidRDefault="00296928" w:rsidP="00592D4E">
      <w:pPr>
        <w:pStyle w:val="Heading3"/>
      </w:pPr>
      <w:r w:rsidRPr="00D73C21">
        <w:t>The complete system shall have the applicable following listings and approvals:</w:t>
      </w:r>
    </w:p>
    <w:p w:rsidR="00296928" w:rsidRPr="00D73C21" w:rsidRDefault="00296928" w:rsidP="00592D4E">
      <w:pPr>
        <w:pStyle w:val="Heading4"/>
      </w:pPr>
      <w:r w:rsidRPr="00D73C21">
        <w:t>Underwriters Laboratories, Inc.</w:t>
      </w:r>
      <w:r w:rsidR="00406F63">
        <w:t xml:space="preserve"> (UL)</w:t>
      </w:r>
    </w:p>
    <w:p w:rsidR="00296928" w:rsidRPr="00D73C21" w:rsidRDefault="00296928" w:rsidP="00592D4E">
      <w:pPr>
        <w:pStyle w:val="Heading4"/>
      </w:pPr>
      <w:r w:rsidRPr="00D73C21">
        <w:t>Factory Mutual Global</w:t>
      </w:r>
      <w:r w:rsidR="00406F63">
        <w:t xml:space="preserve"> (FM)</w:t>
      </w:r>
    </w:p>
    <w:p w:rsidR="00296928" w:rsidRPr="00D73C21" w:rsidRDefault="00296928" w:rsidP="00296928">
      <w:pPr>
        <w:spacing w:after="0"/>
        <w:ind w:left="720"/>
        <w:jc w:val="both"/>
        <w:rPr>
          <w:rFonts w:asciiTheme="minorHAnsi" w:hAnsiTheme="minorHAnsi" w:cstheme="minorHAnsi"/>
          <w:sz w:val="20"/>
        </w:rPr>
      </w:pPr>
    </w:p>
    <w:p w:rsidR="00296928" w:rsidRPr="00D73C21" w:rsidRDefault="00296928" w:rsidP="00592D4E">
      <w:pPr>
        <w:pStyle w:val="Heading2"/>
      </w:pPr>
      <w:r w:rsidRPr="00D73C21">
        <w:t>QUALIFICATIONS</w:t>
      </w:r>
    </w:p>
    <w:p w:rsidR="00296928" w:rsidRPr="00D73C21" w:rsidRDefault="00296928" w:rsidP="00592D4E">
      <w:pPr>
        <w:pStyle w:val="Heading3"/>
      </w:pPr>
      <w:r w:rsidRPr="00D73C21">
        <w:t>Manufacturer</w:t>
      </w:r>
    </w:p>
    <w:p w:rsidR="00296928" w:rsidRPr="00592D4E" w:rsidRDefault="00296928" w:rsidP="00592D4E">
      <w:pPr>
        <w:pStyle w:val="Heading4"/>
      </w:pPr>
      <w:r w:rsidRPr="00592D4E">
        <w:t xml:space="preserve">The manufacturer/supplier of the system hardware and components shall have a minimum of fifteen (15) </w:t>
      </w:r>
      <w:r w:rsidR="00647CF4" w:rsidRPr="00592D4E">
        <w:t>years’</w:t>
      </w:r>
      <w:r w:rsidRPr="00592D4E">
        <w:t xml:space="preserve"> experience in the design and manufacture of systems of similar type.</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lastRenderedPageBreak/>
        <w:t>The manufacturer/supplier of the systems shall be certified to ISO 9001 for a minimum period of five (5) years for the design, production and distribution of fire detection, fire alarm and fire suppression systems.</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The manufacturer/supplier name and part number shall appear on all major components.</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All equipment shall be provided by the same manufacturer / supplier.</w:t>
      </w:r>
    </w:p>
    <w:p w:rsidR="00296928" w:rsidRPr="00D73C21" w:rsidRDefault="00296928" w:rsidP="00296928">
      <w:pPr>
        <w:spacing w:after="0"/>
        <w:ind w:left="1440"/>
        <w:jc w:val="both"/>
        <w:rPr>
          <w:rFonts w:asciiTheme="minorHAnsi" w:hAnsiTheme="minorHAnsi" w:cstheme="minorHAnsi"/>
          <w:sz w:val="20"/>
        </w:rPr>
      </w:pPr>
    </w:p>
    <w:p w:rsidR="00296928" w:rsidRPr="00D73C21" w:rsidRDefault="00296928" w:rsidP="00592D4E">
      <w:pPr>
        <w:pStyle w:val="Heading3"/>
      </w:pPr>
      <w:r w:rsidRPr="00D73C21">
        <w:t>Contractor</w:t>
      </w:r>
    </w:p>
    <w:p w:rsidR="00296928" w:rsidRPr="00D73C21" w:rsidRDefault="00296928" w:rsidP="00592D4E">
      <w:pPr>
        <w:pStyle w:val="Heading4"/>
      </w:pPr>
      <w:r w:rsidRPr="00D73C21">
        <w:t>The system shall be supplied and installed by a factory authorized, Kidde Fire Systems distributor. The Contractor shall be trained by the manufacturer to calculate/design, install, test and maintain the system and shall be able to produce a certificate stating such on request.</w:t>
      </w:r>
    </w:p>
    <w:p w:rsidR="00296928" w:rsidRPr="00D73C21" w:rsidRDefault="00296928" w:rsidP="00592D4E">
      <w:pPr>
        <w:pStyle w:val="Heading4"/>
      </w:pPr>
      <w:r w:rsidRPr="00D73C21">
        <w:t xml:space="preserve">The Contractor shall employ a person who can show proficiency at least equal to a NICET level </w:t>
      </w:r>
      <w:r w:rsidR="009F7CF6">
        <w:t xml:space="preserve">III or </w:t>
      </w:r>
      <w:r w:rsidRPr="00D73C21">
        <w:t>IV certification in special hazards design.</w:t>
      </w:r>
    </w:p>
    <w:p w:rsidR="00296928" w:rsidRPr="00D73C21" w:rsidRDefault="00296928" w:rsidP="00592D4E">
      <w:pPr>
        <w:pStyle w:val="Heading4"/>
      </w:pPr>
      <w:r w:rsidRPr="00D73C21">
        <w:t>The Contractor shall confirm in writing that they stock a full complement of spare parts and offer 24-hour emergency service for all equipment being furnished.</w:t>
      </w:r>
    </w:p>
    <w:p w:rsidR="00296928" w:rsidRPr="00D73C21" w:rsidRDefault="00296928" w:rsidP="00296928">
      <w:pPr>
        <w:spacing w:after="0"/>
        <w:ind w:left="1440"/>
        <w:jc w:val="both"/>
        <w:rPr>
          <w:rFonts w:asciiTheme="minorHAnsi" w:hAnsiTheme="minorHAnsi" w:cstheme="minorHAnsi"/>
          <w:sz w:val="20"/>
        </w:rPr>
      </w:pPr>
    </w:p>
    <w:p w:rsidR="00296928" w:rsidRPr="00D73C21" w:rsidRDefault="00296928" w:rsidP="00592D4E">
      <w:pPr>
        <w:pStyle w:val="Heading2"/>
      </w:pPr>
      <w:r w:rsidRPr="00D73C21">
        <w:t>WARRANTY</w:t>
      </w:r>
    </w:p>
    <w:p w:rsidR="0036310A" w:rsidRDefault="0036310A" w:rsidP="0036310A">
      <w:pPr>
        <w:numPr>
          <w:ilvl w:val="2"/>
          <w:numId w:val="2"/>
        </w:numPr>
        <w:spacing w:after="0"/>
        <w:jc w:val="both"/>
        <w:rPr>
          <w:rFonts w:asciiTheme="minorHAnsi" w:hAnsiTheme="minorHAnsi" w:cstheme="minorHAnsi"/>
          <w:sz w:val="20"/>
        </w:rPr>
      </w:pPr>
      <w:bookmarkStart w:id="0" w:name="_GoBack"/>
      <w:r>
        <w:rPr>
          <w:rFonts w:asciiTheme="minorHAnsi" w:hAnsiTheme="minorHAnsi" w:cstheme="minorHAnsi"/>
          <w:sz w:val="20"/>
        </w:rPr>
        <w:t>The manufacturer shall warrant the system equipment for 36-months from the date of shipment from the factory</w:t>
      </w:r>
    </w:p>
    <w:p w:rsidR="0036310A" w:rsidRDefault="0036310A" w:rsidP="0036310A">
      <w:pPr>
        <w:numPr>
          <w:ilvl w:val="2"/>
          <w:numId w:val="2"/>
        </w:numPr>
        <w:spacing w:after="0"/>
        <w:jc w:val="both"/>
        <w:rPr>
          <w:rFonts w:asciiTheme="minorHAnsi" w:hAnsiTheme="minorHAnsi" w:cstheme="minorHAnsi"/>
          <w:sz w:val="20"/>
        </w:rPr>
      </w:pPr>
      <w:r>
        <w:rPr>
          <w:rFonts w:asciiTheme="minorHAnsi" w:hAnsiTheme="minorHAnsi" w:cstheme="minorHAnsi"/>
          <w:sz w:val="20"/>
        </w:rPr>
        <w:t xml:space="preserve">The contractor shall warrant the installation for 12-months from time of customer acceptance or commissioning </w:t>
      </w:r>
    </w:p>
    <w:bookmarkEnd w:id="0"/>
    <w:p w:rsidR="00296928" w:rsidRPr="00D73C21" w:rsidRDefault="00296928" w:rsidP="00296928">
      <w:pPr>
        <w:spacing w:after="0"/>
        <w:ind w:left="1080"/>
        <w:jc w:val="both"/>
        <w:rPr>
          <w:rFonts w:asciiTheme="minorHAnsi" w:hAnsiTheme="minorHAnsi" w:cstheme="minorHAnsi"/>
          <w:sz w:val="20"/>
        </w:rPr>
      </w:pPr>
    </w:p>
    <w:p w:rsidR="00296928" w:rsidRPr="00D73C21" w:rsidRDefault="00296928" w:rsidP="00592D4E">
      <w:pPr>
        <w:pStyle w:val="Heading2"/>
      </w:pPr>
      <w:r w:rsidRPr="00D73C21">
        <w:t>SUBMITTALS</w:t>
      </w:r>
    </w:p>
    <w:p w:rsidR="00296928" w:rsidRPr="00D73C21" w:rsidRDefault="00296928" w:rsidP="00592D4E">
      <w:pPr>
        <w:pStyle w:val="Heading3"/>
      </w:pPr>
      <w:r w:rsidRPr="00D73C21">
        <w:t>The architect will review all submittals for conformance to the drawings and specifications. The contractor shall be required to resubmit any materials, with appropriate modifications, that are found to be in non-conformance with the requirements of the drawings and these specifications after review by the architect. Approval of the submittals by the architect shall not relieve the Contractor of their responsibility to meet the requirements of the drawings and specifications.</w:t>
      </w:r>
    </w:p>
    <w:p w:rsidR="00946D45" w:rsidRDefault="00946D45" w:rsidP="00946D45">
      <w:pPr>
        <w:numPr>
          <w:ilvl w:val="2"/>
          <w:numId w:val="1"/>
        </w:numPr>
        <w:spacing w:after="0"/>
        <w:jc w:val="both"/>
        <w:rPr>
          <w:rFonts w:cs="Arial"/>
          <w:sz w:val="20"/>
        </w:rPr>
      </w:pPr>
      <w:r>
        <w:rPr>
          <w:rFonts w:cs="Arial"/>
          <w:sz w:val="20"/>
        </w:rPr>
        <w:t>The contractor shall submit the manufacturers’ product technical data and catalog cut sheets for each component or device used in the system.</w:t>
      </w:r>
    </w:p>
    <w:p w:rsidR="00296928" w:rsidRPr="00D73C21" w:rsidRDefault="00296928" w:rsidP="00592D4E">
      <w:pPr>
        <w:pStyle w:val="Heading3"/>
      </w:pPr>
      <w:r w:rsidRPr="00D73C21">
        <w:t xml:space="preserve">Engineered Design Drawings: </w:t>
      </w:r>
      <w:r w:rsidR="00517DCF" w:rsidRPr="00D73C21">
        <w:t>The Contractor</w:t>
      </w:r>
      <w:r w:rsidR="00517DCF">
        <w:t>’s NICET-</w:t>
      </w:r>
      <w:r w:rsidR="00AF4EBD">
        <w:t xml:space="preserve">III or </w:t>
      </w:r>
      <w:r w:rsidR="00517DCF">
        <w:t xml:space="preserve">IV certified designer shall design the system and </w:t>
      </w:r>
      <w:r w:rsidR="00517DCF" w:rsidRPr="00D73C21">
        <w:t xml:space="preserve">provide documents that shall include </w:t>
      </w:r>
      <w:r w:rsidR="00517DCF">
        <w:t xml:space="preserve">but are not limited to </w:t>
      </w:r>
      <w:r w:rsidR="00517DCF" w:rsidRPr="00D73C21">
        <w:t>the following details</w:t>
      </w:r>
      <w:r w:rsidRPr="00D73C21">
        <w:t>:</w:t>
      </w:r>
    </w:p>
    <w:p w:rsidR="0072172F"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Plan and riser drawings showing the location of the FACU and the locations and necessary installation and mounting details of all field devices such as smoke detectors, manual-release stations and notification appliances. </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Conduit routings shall be shown, with number of conductors, type of wire, and wire sizes indicated for each conduit segment.</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Point-to-point wiring diagram showing the termination points for all field-wiring circuits to the internal PCB. All internal wiring and communications cabling shall be shown.</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A primary-power calculation that details the power requirements for the FACU and all field devices such as smoke detectors, notification appliances and releasing solenoids. Include the required capacity of the main AC power-line feed from the commercial power and light company.</w:t>
      </w:r>
    </w:p>
    <w:p w:rsidR="00296928"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A secondary power calculation that shows the quiescent and alarm power requirements for the FACU and all field devices. Include the periods of time for which the quiescent and alarm power requirements shall be supported in order to determine the necessary standby battery capacity.</w:t>
      </w:r>
    </w:p>
    <w:p w:rsidR="00517DCF" w:rsidRPr="00517DCF" w:rsidRDefault="00517DCF" w:rsidP="00517DCF">
      <w:pPr>
        <w:numPr>
          <w:ilvl w:val="3"/>
          <w:numId w:val="1"/>
        </w:numPr>
        <w:spacing w:after="0"/>
        <w:jc w:val="both"/>
        <w:rPr>
          <w:rFonts w:asciiTheme="minorHAnsi" w:hAnsiTheme="minorHAnsi" w:cstheme="minorHAnsi"/>
          <w:sz w:val="20"/>
        </w:rPr>
      </w:pPr>
      <w:r w:rsidRPr="00517DCF">
        <w:rPr>
          <w:rFonts w:asciiTheme="minorHAnsi" w:hAnsiTheme="minorHAnsi" w:cstheme="minorHAnsi"/>
          <w:sz w:val="20"/>
        </w:rPr>
        <w:t xml:space="preserve">Any other requirements of </w:t>
      </w:r>
      <w:r>
        <w:rPr>
          <w:rFonts w:asciiTheme="minorHAnsi" w:hAnsiTheme="minorHAnsi" w:cstheme="minorHAnsi"/>
          <w:sz w:val="20"/>
        </w:rPr>
        <w:t>the latest edition of the relevant NFPA codes.</w:t>
      </w:r>
    </w:p>
    <w:p w:rsidR="00CD007A" w:rsidRDefault="00CD007A" w:rsidP="00CD007A">
      <w:pPr>
        <w:pStyle w:val="Heading4"/>
      </w:pPr>
      <w:r>
        <w:t>A complete component and equipment list with model numbers and Kidde part numbers.</w:t>
      </w:r>
    </w:p>
    <w:p w:rsidR="00CD007A" w:rsidRDefault="00CD007A" w:rsidP="00CD007A">
      <w:pPr>
        <w:pStyle w:val="Heading4"/>
      </w:pPr>
      <w:r>
        <w:t>Product information sheets for each item of equipment.</w:t>
      </w:r>
    </w:p>
    <w:p w:rsidR="00CD007A" w:rsidRDefault="00CD007A" w:rsidP="00CD007A">
      <w:pPr>
        <w:pStyle w:val="Heading4"/>
      </w:pPr>
      <w:proofErr w:type="gramStart"/>
      <w:r>
        <w:t>A document describing the sequence of operation and system functionality.</w:t>
      </w:r>
      <w:proofErr w:type="gramEnd"/>
    </w:p>
    <w:p w:rsidR="00CD007A" w:rsidRPr="00CD007A" w:rsidRDefault="00CD007A" w:rsidP="00CD007A">
      <w:pPr>
        <w:pStyle w:val="Heading4"/>
      </w:pPr>
      <w:r>
        <w:t>A detailed matrix of all the initiating points, control modules, and field circuits that identifies the labeling of all components and shows the relationships and activation sequences among the various initiating points and the control modules and / or field circuits.</w:t>
      </w:r>
    </w:p>
    <w:p w:rsidR="00296928" w:rsidRPr="00D73C21" w:rsidRDefault="00296928" w:rsidP="00296928">
      <w:pPr>
        <w:spacing w:after="0"/>
        <w:jc w:val="both"/>
        <w:rPr>
          <w:rFonts w:asciiTheme="minorHAnsi" w:hAnsiTheme="minorHAnsi" w:cstheme="minorHAnsi"/>
          <w:sz w:val="20"/>
        </w:rPr>
      </w:pPr>
    </w:p>
    <w:p w:rsidR="00517DCF" w:rsidRDefault="00296928" w:rsidP="00592D4E">
      <w:pPr>
        <w:pStyle w:val="Heading3"/>
      </w:pPr>
      <w:r w:rsidRPr="00D73C21">
        <w:t xml:space="preserve">Commissioning Equipment List:  The Contractor shall provide a commissioning equipment list for each installed system. The equipment list shall identify all installed equipment and configurations. </w:t>
      </w:r>
    </w:p>
    <w:p w:rsidR="00517DCF" w:rsidRDefault="00517DCF" w:rsidP="00592D4E">
      <w:pPr>
        <w:pStyle w:val="Heading3"/>
        <w:numPr>
          <w:ilvl w:val="0"/>
          <w:numId w:val="0"/>
        </w:numPr>
        <w:ind w:left="1080"/>
      </w:pPr>
    </w:p>
    <w:p w:rsidR="00517DCF" w:rsidRPr="00865A65" w:rsidRDefault="00517DCF" w:rsidP="00592D4E">
      <w:pPr>
        <w:pStyle w:val="Heading3"/>
      </w:pPr>
      <w:r w:rsidRPr="00E45FDB">
        <w:t>Test Plan</w:t>
      </w:r>
      <w:r>
        <w:t xml:space="preserve">: </w:t>
      </w:r>
      <w:r w:rsidRPr="00865A65">
        <w:t xml:space="preserve">The </w:t>
      </w:r>
      <w:r w:rsidRPr="00D73C21">
        <w:t xml:space="preserve">Contractor </w:t>
      </w:r>
      <w:r w:rsidRPr="00865A65">
        <w:t xml:space="preserve">shall submit a test plan that describes how the system equipment </w:t>
      </w:r>
      <w:r>
        <w:t>s</w:t>
      </w:r>
      <w:r w:rsidRPr="00865A65">
        <w:t xml:space="preserve">hall be tested. This shall include a step-by-step description of all tests and shall indicate type and location of test apparatus to be used. At a minimum, the tests to be conducted shall be per NFPA </w:t>
      </w:r>
      <w:r>
        <w:t xml:space="preserve">72 </w:t>
      </w:r>
      <w:r w:rsidRPr="00865A65">
        <w:t xml:space="preserve">and any </w:t>
      </w:r>
      <w:r w:rsidRPr="00865A65">
        <w:lastRenderedPageBreak/>
        <w:t xml:space="preserve">additional supplemental tests required by the AHJ. Tests shall not be scheduled nor conducted until the engineer of record </w:t>
      </w:r>
      <w:r w:rsidR="00AF4EBD">
        <w:t xml:space="preserve">or end users representative </w:t>
      </w:r>
      <w:r w:rsidRPr="00865A65">
        <w:t>approves the test plan.</w:t>
      </w:r>
    </w:p>
    <w:p w:rsidR="00517DCF" w:rsidRDefault="00517DCF" w:rsidP="00592D4E">
      <w:pPr>
        <w:pStyle w:val="Heading3"/>
        <w:numPr>
          <w:ilvl w:val="0"/>
          <w:numId w:val="0"/>
        </w:numPr>
        <w:ind w:left="1080"/>
      </w:pPr>
    </w:p>
    <w:p w:rsidR="00517DCF" w:rsidRPr="00517DCF" w:rsidRDefault="00517DCF" w:rsidP="00592D4E">
      <w:pPr>
        <w:pStyle w:val="Heading3"/>
      </w:pPr>
      <w:r>
        <w:t xml:space="preserve">The </w:t>
      </w:r>
      <w:r w:rsidRPr="00D73C21">
        <w:t>Contractor</w:t>
      </w:r>
      <w:r>
        <w:t xml:space="preserve"> shall submit the following Installation drawings</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Four (4) sets of installation drawings for each installed system and one (1) set of calculation reports, owner’s manuals and product data sheets. </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A description of system functionality and a detailed matrix of all the initiating points, control modules, and field circuits that identifies the labeling of all components and shows the relationships and activation sequences among the various initiating points and the control modules and/or field circuits.</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Upon completion of installation and commissioning acceptance, two (2) sets of “As-Built” installation drawings and One (1) set of the calculation report for each installed system. </w:t>
      </w:r>
    </w:p>
    <w:p w:rsidR="00296928" w:rsidRPr="00D73C21" w:rsidRDefault="00296928" w:rsidP="00296928">
      <w:pPr>
        <w:spacing w:after="0"/>
        <w:ind w:left="1440"/>
        <w:jc w:val="both"/>
        <w:rPr>
          <w:rFonts w:asciiTheme="minorHAnsi" w:hAnsiTheme="minorHAnsi" w:cstheme="minorHAnsi"/>
          <w:sz w:val="20"/>
        </w:rPr>
      </w:pPr>
    </w:p>
    <w:p w:rsidR="00517DCF" w:rsidRPr="00E45FDB" w:rsidRDefault="00517DCF" w:rsidP="00592D4E">
      <w:pPr>
        <w:pStyle w:val="Heading3"/>
      </w:pPr>
      <w:r>
        <w:t xml:space="preserve">The </w:t>
      </w:r>
      <w:r w:rsidRPr="00D73C21">
        <w:t>Contractor</w:t>
      </w:r>
      <w:r>
        <w:t xml:space="preserve"> shall submit the following </w:t>
      </w:r>
      <w:r w:rsidRPr="00E45FDB">
        <w:t>Manuals</w:t>
      </w:r>
      <w:r>
        <w:t xml:space="preserve"> after complete installation</w:t>
      </w:r>
    </w:p>
    <w:p w:rsidR="00296928" w:rsidRDefault="00517DCF" w:rsidP="00296928">
      <w:pPr>
        <w:numPr>
          <w:ilvl w:val="3"/>
          <w:numId w:val="1"/>
        </w:numPr>
        <w:spacing w:after="0"/>
        <w:jc w:val="both"/>
        <w:rPr>
          <w:rFonts w:asciiTheme="minorHAnsi" w:hAnsiTheme="minorHAnsi" w:cstheme="minorHAnsi"/>
          <w:sz w:val="20"/>
        </w:rPr>
      </w:pPr>
      <w:r w:rsidRPr="00E45FDB">
        <w:rPr>
          <w:rFonts w:asciiTheme="minorHAnsi" w:hAnsiTheme="minorHAnsi" w:cstheme="minorHAnsi"/>
          <w:sz w:val="20"/>
        </w:rPr>
        <w:t xml:space="preserve">Two (2) copies of the Kidde </w:t>
      </w:r>
      <w:r>
        <w:rPr>
          <w:rFonts w:asciiTheme="minorHAnsi" w:hAnsiTheme="minorHAnsi" w:cstheme="minorHAnsi"/>
          <w:sz w:val="20"/>
        </w:rPr>
        <w:t>AEGIS</w:t>
      </w:r>
      <w:r w:rsidRPr="00517DCF">
        <w:rPr>
          <w:rFonts w:asciiTheme="minorHAnsi" w:hAnsiTheme="minorHAnsi" w:cstheme="minorHAnsi"/>
          <w:sz w:val="20"/>
        </w:rPr>
        <w:t xml:space="preserve"> FACU Installation, Operation and Maintenance Manual</w:t>
      </w:r>
    </w:p>
    <w:p w:rsidR="006D3759" w:rsidRPr="00517DCF" w:rsidRDefault="006D3759" w:rsidP="006D3759">
      <w:pPr>
        <w:spacing w:after="0"/>
        <w:jc w:val="both"/>
        <w:rPr>
          <w:rFonts w:asciiTheme="minorHAnsi" w:hAnsiTheme="minorHAnsi" w:cstheme="minorHAnsi"/>
          <w:sz w:val="20"/>
        </w:rPr>
      </w:pPr>
    </w:p>
    <w:p w:rsidR="00296928" w:rsidRPr="00D73C21" w:rsidRDefault="000D21A0" w:rsidP="00592D4E">
      <w:pPr>
        <w:pStyle w:val="Heading1"/>
      </w:pPr>
      <w:r>
        <w:t>PRODUCT</w:t>
      </w:r>
      <w:r w:rsidR="00296928" w:rsidRPr="00D73C21">
        <w:t xml:space="preserve"> REQUIREMENTS</w:t>
      </w:r>
    </w:p>
    <w:p w:rsidR="00296928" w:rsidRPr="00D73C21" w:rsidRDefault="00296928" w:rsidP="00592D4E">
      <w:pPr>
        <w:pStyle w:val="Heading2"/>
      </w:pPr>
      <w:r w:rsidRPr="00D73C21">
        <w:t>Fire Alarm Control Unit (FACU):</w:t>
      </w:r>
    </w:p>
    <w:p w:rsidR="008D698E" w:rsidRDefault="00296928" w:rsidP="00592D4E">
      <w:pPr>
        <w:pStyle w:val="Heading3"/>
      </w:pPr>
      <w:r w:rsidRPr="00D73C21">
        <w:t xml:space="preserve">The FACU shall consist of a single Printed Circuit Board with the main microprocessor and an integral operator interface Module, a primary Power Supply Unit, a 24 VDC Battery backup complete with Battery Charger, in an 18 gauge painted NEMA 1 steel enclosure with door.  The </w:t>
      </w:r>
      <w:r w:rsidR="008D698E">
        <w:t xml:space="preserve">FACU </w:t>
      </w:r>
      <w:r w:rsidRPr="00D73C21">
        <w:t xml:space="preserve">enclosure size shall be capable of housing a Battery of capacity 12 AH at 24 VDC.  </w:t>
      </w:r>
    </w:p>
    <w:p w:rsidR="00296928" w:rsidRPr="00D73C21" w:rsidRDefault="00296928" w:rsidP="00592D4E">
      <w:pPr>
        <w:pStyle w:val="Heading3"/>
      </w:pPr>
      <w:r w:rsidRPr="00D73C21">
        <w:t>A battery cabinet or multiple battery cabinets shall be available to accommodate a battery capacity of 17 to 68 AH at 24 VDC.</w:t>
      </w:r>
    </w:p>
    <w:p w:rsidR="00296928" w:rsidRPr="00D73C21" w:rsidRDefault="00296928" w:rsidP="00592D4E">
      <w:pPr>
        <w:pStyle w:val="Heading3"/>
      </w:pPr>
      <w:r w:rsidRPr="00D73C21">
        <w:t xml:space="preserve">The power-supply / charger assembly shall be </w:t>
      </w:r>
      <w:r w:rsidR="00E54110">
        <w:t xml:space="preserve">field </w:t>
      </w:r>
      <w:r w:rsidRPr="00D73C21">
        <w:t>configurable to accept either 120 or 240 VAC input voltage</w:t>
      </w:r>
      <w:r w:rsidR="00E54110">
        <w:t>, 50/60Hz</w:t>
      </w:r>
      <w:r w:rsidRPr="00D73C21">
        <w:t>, and shall provide 5.4 A at 24 VDC of filtered and regulated power to operate the system and charge the system’s standby battery. The charger assembly shall be capable of charging batteries of capacities up to 68 AH.</w:t>
      </w:r>
    </w:p>
    <w:p w:rsidR="00296928" w:rsidRPr="00D73C21" w:rsidRDefault="00296928" w:rsidP="00592D4E">
      <w:pPr>
        <w:pStyle w:val="Heading3"/>
      </w:pPr>
      <w:r w:rsidRPr="00D73C21">
        <w:t xml:space="preserve">The FACU shall provide Auxiliary Power Output rated at 1 Amp total at 24 VDC for external use. </w:t>
      </w:r>
    </w:p>
    <w:p w:rsidR="00296928" w:rsidRPr="00D73C21" w:rsidRDefault="00296928" w:rsidP="00592D4E">
      <w:pPr>
        <w:pStyle w:val="Heading3"/>
      </w:pPr>
      <w:r w:rsidRPr="00D73C21">
        <w:t xml:space="preserve">The battery backup system shall consist of 24 VDC, maintenance free, sealed lead acid batteries of capacity </w:t>
      </w:r>
      <w:r w:rsidR="009C2F72">
        <w:t>appropriately sized</w:t>
      </w:r>
      <w:r w:rsidR="00E54110">
        <w:t>, through battery calculations</w:t>
      </w:r>
      <w:r w:rsidRPr="00D73C21">
        <w:t xml:space="preserve"> to provide for 24 hours (90 hours for FM applications) of Standby operation followed by 5  minutes (10 minutes for FM) of Alarm operation in case of AC Mains failure. The battery charger shall be capable of charging a fully discharged battery within 48 hours.  </w:t>
      </w:r>
    </w:p>
    <w:p w:rsidR="00296928" w:rsidRPr="00D73C21" w:rsidRDefault="00296928" w:rsidP="00592D4E">
      <w:pPr>
        <w:pStyle w:val="Heading3"/>
      </w:pPr>
      <w:r w:rsidRPr="00D73C21">
        <w:t>The FACU shall supervise and control the overall system operation, including the execution of the site-specific configuration.  Its printed circuit board shall contain the hazard-specific input and output circuits.</w:t>
      </w:r>
    </w:p>
    <w:p w:rsidR="00296928" w:rsidRPr="008D698E" w:rsidRDefault="00296928" w:rsidP="00592D4E">
      <w:pPr>
        <w:pStyle w:val="Heading3"/>
      </w:pPr>
      <w:r w:rsidRPr="008D698E">
        <w:t>The operator interface s</w:t>
      </w:r>
      <w:r w:rsidR="008D698E" w:rsidRPr="008D698E">
        <w:t xml:space="preserve">hall provide a digital </w:t>
      </w:r>
      <w:r w:rsidRPr="008D698E">
        <w:t>countdown timer to indicate the time remaining prior to an impending suppression system release. Panels that do not display releasing countdown shall not be acceptable.</w:t>
      </w:r>
    </w:p>
    <w:p w:rsidR="00296928" w:rsidRPr="00D73C21" w:rsidRDefault="00296928" w:rsidP="00592D4E">
      <w:pPr>
        <w:pStyle w:val="Heading3"/>
      </w:pPr>
      <w:r w:rsidRPr="00D73C21">
        <w:t xml:space="preserve">The operator interface module shall provide Light Emitting Diodes (LED) to indicate Power ON, Alarm, Pre-Release, Releasing, Post-Release, Trouble, Supervisory and Signal Silenced.  </w:t>
      </w:r>
    </w:p>
    <w:p w:rsidR="00296928" w:rsidRPr="00D73C21" w:rsidRDefault="00296928" w:rsidP="00592D4E">
      <w:pPr>
        <w:pStyle w:val="Heading3"/>
      </w:pPr>
      <w:r w:rsidRPr="00D73C21">
        <w:t xml:space="preserve">All access to the Menu System shall be password protected.  </w:t>
      </w:r>
    </w:p>
    <w:p w:rsidR="00296928" w:rsidRPr="00D73C21" w:rsidRDefault="00296928" w:rsidP="00592D4E">
      <w:pPr>
        <w:pStyle w:val="Heading3"/>
      </w:pPr>
      <w:r w:rsidRPr="00D73C21">
        <w:t xml:space="preserve">A system buzzer shall annunciate each Alarm, Supervisory, or Trouble event. </w:t>
      </w:r>
    </w:p>
    <w:p w:rsidR="00296928" w:rsidRPr="00D73C21" w:rsidRDefault="00296928" w:rsidP="00592D4E">
      <w:pPr>
        <w:pStyle w:val="Heading3"/>
      </w:pPr>
      <w:r w:rsidRPr="00D73C21">
        <w:t>The FACU shall provide 3 Class A/B Detection Initiating Device Circuits.</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Initiating Device Circuits shall all be power limited, and shall be field-configurable in either style of supervision without the use of any converter boards, wiring jumpers, or dip switches. Panels that require the use of Class A/Class B converter boards shall not be permitted. </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Each circuit shall be capable of supporting Normally Open contact-type alarm devices as well as a minimum of 20 </w:t>
      </w:r>
      <w:r w:rsidR="00946D45">
        <w:rPr>
          <w:rFonts w:asciiTheme="minorHAnsi" w:hAnsiTheme="minorHAnsi" w:cstheme="minorHAnsi"/>
          <w:sz w:val="20"/>
        </w:rPr>
        <w:t>model</w:t>
      </w:r>
      <w:r w:rsidRPr="00D73C21">
        <w:rPr>
          <w:rFonts w:asciiTheme="minorHAnsi" w:hAnsiTheme="minorHAnsi" w:cstheme="minorHAnsi"/>
          <w:sz w:val="20"/>
        </w:rPr>
        <w:t xml:space="preserve"> 711U series Conventional point-type smoke detectors.  </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Contractor shall only utilize detectors that have been UL listed for compatibility with the </w:t>
      </w:r>
      <w:r w:rsidR="008D698E">
        <w:rPr>
          <w:rFonts w:asciiTheme="minorHAnsi" w:hAnsiTheme="minorHAnsi" w:cstheme="minorHAnsi"/>
          <w:sz w:val="20"/>
        </w:rPr>
        <w:t>FACU</w:t>
      </w:r>
      <w:r w:rsidRPr="00D73C21">
        <w:rPr>
          <w:rFonts w:asciiTheme="minorHAnsi" w:hAnsiTheme="minorHAnsi" w:cstheme="minorHAnsi"/>
          <w:sz w:val="20"/>
        </w:rPr>
        <w:t xml:space="preserve">.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FACU shall be provided 1 Class A/B Manual Release Circuit</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circuit shall be power limited and shall be capable of supporting Kidde Manual Pull Stations. The release of agent subsequent to the operation of the Manual Release shall be configurable to be either instantaneous or delayed.  If delayed, the time delay shall be 10 seconds, 20 seconds, or 30 seconds. The operation of the Manual Release shall override any existing Abort Station input. </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lastRenderedPageBreak/>
        <w:t xml:space="preserve">The Contractor shall only utilize Kidde Pull Stations.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FACU shall provide 1 Class A/B Abort Circuit.</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The circuit shall be power limited and shall be capable of being user-configurable to abort either a single release output, or both. In applications where the AEGIS 2.0 FACU dually controls a clean agent system and a water based system, activation of the abort circuit shall not affect the release of the water based system.</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The abort circuit shall be capable of supporting Kidde Abort Stations. When enabled, the abort circuit shall be configurable to operate in up to six modes including UL and disabled.</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Contractor shall only utilize Kidde Abort Stations.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FACU shall provide 2 Class A/B Supervisory Circuits. </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The supervisory circuit shall be field-configurable in either style of supervision without the use of any converter boards, wiring jumpers, or dip switches.  Panels that require the use of Class A/Class B converter boards shall not be permitted.</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Each circuit shall be power limited.</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The supervisory circuit shall be configurable to allow for Supervisory input and Detection input to be cross zoned, to release the suppression system.</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FACU shall provide 3 Class A/B Notification Appliance Circuits (NACs).</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NACs shall be field-configurable in either style of supervision without the use of any converter boards, wiring jumpers, or dip switches.  Panels that require the use of Class A/Class B converter boards shall not be permitted. </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Each NAC circuit shall be capable of delivering an output of 1.5 Amps at 24 VDC.  </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All circuits shall be individually programmable and configurable to activate on one or more of the conditions of General Alarm, First Alarm, </w:t>
      </w:r>
      <w:proofErr w:type="spellStart"/>
      <w:r w:rsidRPr="00D73C21">
        <w:rPr>
          <w:rFonts w:asciiTheme="minorHAnsi" w:hAnsiTheme="minorHAnsi" w:cstheme="minorHAnsi"/>
          <w:sz w:val="20"/>
        </w:rPr>
        <w:t>Waterflow</w:t>
      </w:r>
      <w:proofErr w:type="spellEnd"/>
      <w:r w:rsidRPr="00D73C21">
        <w:rPr>
          <w:rFonts w:asciiTheme="minorHAnsi" w:hAnsiTheme="minorHAnsi" w:cstheme="minorHAnsi"/>
          <w:sz w:val="20"/>
        </w:rPr>
        <w:t xml:space="preserve">, Pre-Discharge, and Discharge. </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In the event of the occurrence of any of the above conditions, the circuits shall be configurable to generate the sound pattern of:</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Silent</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 xml:space="preserve">Pulse at 60 beats per minute </w:t>
      </w:r>
      <w:proofErr w:type="spellStart"/>
      <w:r w:rsidRPr="00D73C21">
        <w:rPr>
          <w:rFonts w:asciiTheme="minorHAnsi" w:hAnsiTheme="minorHAnsi" w:cstheme="minorHAnsi"/>
          <w:sz w:val="20"/>
        </w:rPr>
        <w:t>Silenceable</w:t>
      </w:r>
      <w:proofErr w:type="spellEnd"/>
      <w:r w:rsidRPr="00D73C21">
        <w:rPr>
          <w:rFonts w:asciiTheme="minorHAnsi" w:hAnsiTheme="minorHAnsi" w:cstheme="minorHAnsi"/>
          <w:sz w:val="20"/>
        </w:rPr>
        <w:t xml:space="preserve"> or Non-</w:t>
      </w:r>
      <w:proofErr w:type="spellStart"/>
      <w:r w:rsidRPr="00D73C21">
        <w:rPr>
          <w:rFonts w:asciiTheme="minorHAnsi" w:hAnsiTheme="minorHAnsi" w:cstheme="minorHAnsi"/>
          <w:sz w:val="20"/>
        </w:rPr>
        <w:t>Silenceable</w:t>
      </w:r>
      <w:proofErr w:type="spellEnd"/>
      <w:r w:rsidRPr="00D73C21">
        <w:rPr>
          <w:rFonts w:asciiTheme="minorHAnsi" w:hAnsiTheme="minorHAnsi" w:cstheme="minorHAnsi"/>
          <w:sz w:val="20"/>
        </w:rPr>
        <w:t xml:space="preserve"> </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 xml:space="preserve">Pulse at 120 beats per minute </w:t>
      </w:r>
      <w:proofErr w:type="spellStart"/>
      <w:r w:rsidRPr="00D73C21">
        <w:rPr>
          <w:rFonts w:asciiTheme="minorHAnsi" w:hAnsiTheme="minorHAnsi" w:cstheme="minorHAnsi"/>
          <w:sz w:val="20"/>
        </w:rPr>
        <w:t>Silenceable</w:t>
      </w:r>
      <w:proofErr w:type="spellEnd"/>
      <w:r w:rsidRPr="00D73C21">
        <w:rPr>
          <w:rFonts w:asciiTheme="minorHAnsi" w:hAnsiTheme="minorHAnsi" w:cstheme="minorHAnsi"/>
          <w:sz w:val="20"/>
        </w:rPr>
        <w:t xml:space="preserve"> or Non-</w:t>
      </w:r>
      <w:proofErr w:type="spellStart"/>
      <w:r w:rsidRPr="00D73C21">
        <w:rPr>
          <w:rFonts w:asciiTheme="minorHAnsi" w:hAnsiTheme="minorHAnsi" w:cstheme="minorHAnsi"/>
          <w:sz w:val="20"/>
        </w:rPr>
        <w:t>Silenceable</w:t>
      </w:r>
      <w:proofErr w:type="spellEnd"/>
      <w:r w:rsidRPr="00D73C21">
        <w:rPr>
          <w:rFonts w:asciiTheme="minorHAnsi" w:hAnsiTheme="minorHAnsi" w:cstheme="minorHAnsi"/>
          <w:sz w:val="20"/>
        </w:rPr>
        <w:t xml:space="preserve"> </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Temporal </w:t>
      </w:r>
      <w:proofErr w:type="spellStart"/>
      <w:r w:rsidRPr="00D73C21">
        <w:rPr>
          <w:rFonts w:asciiTheme="minorHAnsi" w:hAnsiTheme="minorHAnsi" w:cstheme="minorHAnsi"/>
          <w:sz w:val="20"/>
        </w:rPr>
        <w:t>Silenceable</w:t>
      </w:r>
      <w:proofErr w:type="spellEnd"/>
      <w:r w:rsidRPr="00D73C21">
        <w:rPr>
          <w:rFonts w:asciiTheme="minorHAnsi" w:hAnsiTheme="minorHAnsi" w:cstheme="minorHAnsi"/>
          <w:sz w:val="20"/>
        </w:rPr>
        <w:t xml:space="preserve"> or Non-</w:t>
      </w:r>
      <w:proofErr w:type="spellStart"/>
      <w:r w:rsidRPr="00D73C21">
        <w:rPr>
          <w:rFonts w:asciiTheme="minorHAnsi" w:hAnsiTheme="minorHAnsi" w:cstheme="minorHAnsi"/>
          <w:sz w:val="20"/>
        </w:rPr>
        <w:t>Silenceable</w:t>
      </w:r>
      <w:proofErr w:type="spellEnd"/>
      <w:r w:rsidRPr="00D73C21">
        <w:rPr>
          <w:rFonts w:asciiTheme="minorHAnsi" w:hAnsiTheme="minorHAnsi" w:cstheme="minorHAnsi"/>
          <w:sz w:val="20"/>
        </w:rPr>
        <w:t xml:space="preserve"> </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Steady</w:t>
      </w:r>
      <w:r w:rsidR="009C2F72">
        <w:rPr>
          <w:rFonts w:asciiTheme="minorHAnsi" w:hAnsiTheme="minorHAnsi" w:cstheme="minorHAnsi"/>
          <w:sz w:val="20"/>
        </w:rPr>
        <w:t xml:space="preserve"> </w:t>
      </w:r>
      <w:proofErr w:type="spellStart"/>
      <w:r w:rsidR="009C2F72" w:rsidRPr="00D73C21">
        <w:rPr>
          <w:rFonts w:asciiTheme="minorHAnsi" w:hAnsiTheme="minorHAnsi" w:cstheme="minorHAnsi"/>
          <w:sz w:val="20"/>
        </w:rPr>
        <w:t>Silenceable</w:t>
      </w:r>
      <w:proofErr w:type="spellEnd"/>
      <w:r w:rsidR="009C2F72" w:rsidRPr="00D73C21">
        <w:rPr>
          <w:rFonts w:asciiTheme="minorHAnsi" w:hAnsiTheme="minorHAnsi" w:cstheme="minorHAnsi"/>
          <w:sz w:val="20"/>
        </w:rPr>
        <w:t xml:space="preserve"> or Non-</w:t>
      </w:r>
      <w:proofErr w:type="spellStart"/>
      <w:r w:rsidR="009C2F72" w:rsidRPr="00D73C21">
        <w:rPr>
          <w:rFonts w:asciiTheme="minorHAnsi" w:hAnsiTheme="minorHAnsi" w:cstheme="minorHAnsi"/>
          <w:sz w:val="20"/>
        </w:rPr>
        <w:t>Silenceable</w:t>
      </w:r>
      <w:proofErr w:type="spellEnd"/>
    </w:p>
    <w:p w:rsidR="009A424E" w:rsidRDefault="00D66608" w:rsidP="000D21A0">
      <w:pPr>
        <w:numPr>
          <w:ilvl w:val="3"/>
          <w:numId w:val="1"/>
        </w:numPr>
        <w:spacing w:after="0"/>
        <w:jc w:val="both"/>
        <w:rPr>
          <w:rFonts w:asciiTheme="minorHAnsi" w:hAnsiTheme="minorHAnsi" w:cstheme="minorHAnsi"/>
          <w:sz w:val="20"/>
        </w:rPr>
      </w:pPr>
      <w:r>
        <w:rPr>
          <w:rFonts w:asciiTheme="minorHAnsi" w:hAnsiTheme="minorHAnsi" w:cstheme="minorHAnsi"/>
          <w:sz w:val="20"/>
        </w:rPr>
        <w:t>Three or more n</w:t>
      </w:r>
      <w:r w:rsidR="00A55429">
        <w:rPr>
          <w:rFonts w:asciiTheme="minorHAnsi" w:hAnsiTheme="minorHAnsi" w:cstheme="minorHAnsi"/>
          <w:sz w:val="20"/>
        </w:rPr>
        <w:t>otification appliances in the same line of sight</w:t>
      </w:r>
      <w:r w:rsidR="009A424E">
        <w:rPr>
          <w:rFonts w:asciiTheme="minorHAnsi" w:hAnsiTheme="minorHAnsi" w:cstheme="minorHAnsi"/>
          <w:sz w:val="20"/>
        </w:rPr>
        <w:t xml:space="preserve"> shall be s</w:t>
      </w:r>
      <w:r w:rsidR="00296928" w:rsidRPr="00D73C21">
        <w:rPr>
          <w:rFonts w:asciiTheme="minorHAnsi" w:hAnsiTheme="minorHAnsi" w:cstheme="minorHAnsi"/>
          <w:sz w:val="20"/>
        </w:rPr>
        <w:t>ynchroniz</w:t>
      </w:r>
      <w:r w:rsidR="009A424E">
        <w:rPr>
          <w:rFonts w:asciiTheme="minorHAnsi" w:hAnsiTheme="minorHAnsi" w:cstheme="minorHAnsi"/>
          <w:sz w:val="20"/>
        </w:rPr>
        <w:t>ed.</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It shall be possible to configure more than one circuit to activate for the same alarm condition</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It shall be possible to override one master code (tone) with another depending on the state (i.e., first alarm, prerelease, or release) of the particular suppression zone. No supplemental equipment shall be required to perform this functionality.</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Contractor shall only utilize 24 VDC Notification Appliances that have been UL listed and are compatible with the AEGIS 2.0 FACU.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FACU shall provide 2 Class B Agent Release Circuits</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releasing circuits shall be protected against inadvertent activation by a Triple-Failure-Redundancy safeguard system. This system shall require the main microprocessor to issue two release commands, of opposite polarity </w:t>
      </w:r>
      <w:r w:rsidR="007B22A3">
        <w:rPr>
          <w:rFonts w:asciiTheme="minorHAnsi" w:hAnsiTheme="minorHAnsi" w:cstheme="minorHAnsi"/>
          <w:sz w:val="20"/>
        </w:rPr>
        <w:t>(one “High” and one “Low”</w:t>
      </w:r>
      <w:r w:rsidRPr="00D73C21">
        <w:rPr>
          <w:rFonts w:asciiTheme="minorHAnsi" w:hAnsiTheme="minorHAnsi" w:cstheme="minorHAnsi"/>
          <w:sz w:val="20"/>
        </w:rPr>
        <w:t xml:space="preserve"> and via separate signaling channels, combined with a signal from the FACU’s watchdog timer confirming proper microprocessor operation, in order to activate a release circuit.</w:t>
      </w:r>
      <w:r w:rsidR="00DA0C60">
        <w:rPr>
          <w:rFonts w:asciiTheme="minorHAnsi" w:hAnsiTheme="minorHAnsi" w:cstheme="minorHAnsi"/>
          <w:sz w:val="20"/>
        </w:rPr>
        <w:t xml:space="preserve"> Traditional signal circuits that activate on a single </w:t>
      </w:r>
      <w:r w:rsidR="007B22A3">
        <w:rPr>
          <w:rFonts w:asciiTheme="minorHAnsi" w:hAnsiTheme="minorHAnsi" w:cstheme="minorHAnsi"/>
          <w:sz w:val="20"/>
        </w:rPr>
        <w:t>“high” or a single “low” command from the microprocessor shall not meet the intent of the spec.</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It shall be possible to configure each release circuit for activation based on the following configuration criteria of inputs:</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Manual Release</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Single zone</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Crossed zone</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The Contractor shall only utilize release devices that have been UL listed/FM approved for compatibility with the AEGIS 2.0 FACU.</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The circuit shall be configurable so as to provide activation power to Control Heads for 90 seconds and to Deluge Solenoids for 10 minutes, 15 minutes or On-Until-Reset.</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The circuit shall be configurable so that release of agent in the affected area may either be instantaneous or delayed by a maximum of 60 seconds.  The site-specific time delay shall be configurable up to the maximum allowed in steps of 10 seconds.</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FACU shall provide 3 Independently Programmable Relays.</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lastRenderedPageBreak/>
        <w:t xml:space="preserve">The Programmable Relays shall be normally de-energized and shall have Form-C contacts rated 3 Amps at 120 VAC / 30 VDC.  </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The contacts shall be programmable to transfer and latch on any one of the following conditions:</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General Alarm Condition</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First Alarm Condition</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Pre-Discharge Condition</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Discharge Condition</w:t>
      </w:r>
    </w:p>
    <w:p w:rsidR="00296928" w:rsidRPr="00D73C21" w:rsidRDefault="00296928" w:rsidP="000D21A0">
      <w:pPr>
        <w:numPr>
          <w:ilvl w:val="4"/>
          <w:numId w:val="1"/>
        </w:numPr>
        <w:spacing w:after="0"/>
        <w:jc w:val="both"/>
        <w:rPr>
          <w:rFonts w:asciiTheme="minorHAnsi" w:hAnsiTheme="minorHAnsi" w:cstheme="minorHAnsi"/>
          <w:sz w:val="20"/>
        </w:rPr>
      </w:pPr>
      <w:proofErr w:type="spellStart"/>
      <w:r w:rsidRPr="00D73C21">
        <w:rPr>
          <w:rFonts w:asciiTheme="minorHAnsi" w:hAnsiTheme="minorHAnsi" w:cstheme="minorHAnsi"/>
          <w:sz w:val="20"/>
        </w:rPr>
        <w:t>Waterflow</w:t>
      </w:r>
      <w:proofErr w:type="spellEnd"/>
      <w:r w:rsidRPr="00D73C21">
        <w:rPr>
          <w:rFonts w:asciiTheme="minorHAnsi" w:hAnsiTheme="minorHAnsi" w:cstheme="minorHAnsi"/>
          <w:sz w:val="20"/>
        </w:rPr>
        <w:t xml:space="preserve"> Input</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Manual Release</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Global Abort Input</w:t>
      </w:r>
    </w:p>
    <w:p w:rsidR="00296928" w:rsidRPr="00D73C21" w:rsidRDefault="00296928" w:rsidP="000D21A0">
      <w:pPr>
        <w:numPr>
          <w:ilvl w:val="4"/>
          <w:numId w:val="1"/>
        </w:numPr>
        <w:spacing w:after="0"/>
        <w:jc w:val="both"/>
        <w:rPr>
          <w:rFonts w:asciiTheme="minorHAnsi" w:hAnsiTheme="minorHAnsi" w:cstheme="minorHAnsi"/>
          <w:sz w:val="20"/>
        </w:rPr>
      </w:pPr>
      <w:r w:rsidRPr="00D73C21">
        <w:rPr>
          <w:rFonts w:asciiTheme="minorHAnsi" w:hAnsiTheme="minorHAnsi" w:cstheme="minorHAnsi"/>
          <w:sz w:val="20"/>
        </w:rPr>
        <w:t>Global Supervisory Input</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FACU shall provide 1 System Trouble Relay.</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Trouble Relay shall be normally energized and shall have Form-C contacts rated 3 Amps at 120 VAC / 30 VDC.  </w:t>
      </w:r>
    </w:p>
    <w:p w:rsidR="00296928" w:rsidRPr="00D73C21" w:rsidRDefault="00296928" w:rsidP="000D21A0">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The relay shall be non-latching and shall transfer on any trouble in the system.</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All Input and Outputs shall be provided appropriate numbers of terminals of capacity suitable for 18 to 12 AWG wiring.</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FACU Menu System shall only be accessible from the user interface keypad.  It shall be pass code protected to prevent unauthorized access</w:t>
      </w:r>
    </w:p>
    <w:p w:rsidR="00296928" w:rsidRPr="00D73C21" w:rsidRDefault="000C3617" w:rsidP="00592D4E">
      <w:pPr>
        <w:pStyle w:val="Heading2"/>
      </w:pPr>
      <w:r>
        <w:t>Model</w:t>
      </w:r>
      <w:r w:rsidR="00296928" w:rsidRPr="00D73C21">
        <w:t xml:space="preserve"> 711U Conventional Photoelectric Detectors</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Photoelectric Detector shall be a light-scattering, low profile, conventional type that senses a broad range of smoldering and flaming-type fires.</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sensing chamber shall permit a full 360 degree smoke entry and shall contain a field replaceable optical chamber.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mount to a twist-to-lock, vandal resistant base, Models 701U, 702U or 702E.</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Detector shall be suitable for open air velocities up to 300 fpm and shall have a nominal sensitivity of 2.85%, +.37%, -.75% obscuration per foot.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permit a sensitivity check without the need for generating smoke</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Detector shall permit a remote sensitivity check without removing it from service and without interrupting its operability.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provide a response LED. This LED shall flash to indicate power and shall light up steady with full brilliance on alarm.</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All field wire connections shall be made to the base through the use of a clamping plate and screw.</w:t>
      </w:r>
    </w:p>
    <w:p w:rsidR="00296928" w:rsidRPr="00D73C21" w:rsidRDefault="000C3617" w:rsidP="00592D4E">
      <w:pPr>
        <w:pStyle w:val="Heading2"/>
      </w:pPr>
      <w:r>
        <w:t>Model</w:t>
      </w:r>
      <w:r w:rsidR="00296928" w:rsidRPr="00D73C21">
        <w:t xml:space="preserve"> 721UT Conventional Photoelectric Detector </w:t>
      </w:r>
      <w:proofErr w:type="gramStart"/>
      <w:r w:rsidR="00296928" w:rsidRPr="00D73C21">
        <w:t>With</w:t>
      </w:r>
      <w:proofErr w:type="gramEnd"/>
      <w:r w:rsidR="00296928" w:rsidRPr="00D73C21">
        <w:t xml:space="preserve"> Integrated Heat Detector</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Photoelectric Detector shall be a light-scattering, low profile, conventional type that senses a broad range of smoldering and flaming-type fires. Integrated heat detector shall operate at fixed temperature of 135 </w:t>
      </w:r>
      <w:r w:rsidRPr="00D73C21">
        <w:rPr>
          <w:rFonts w:asciiTheme="minorHAnsi" w:hAnsiTheme="minorHAnsi" w:cstheme="minorHAnsi"/>
          <w:sz w:val="20"/>
          <w:vertAlign w:val="superscript"/>
        </w:rPr>
        <w:t>O</w:t>
      </w:r>
      <w:r w:rsidRPr="00D73C21">
        <w:rPr>
          <w:rFonts w:asciiTheme="minorHAnsi" w:hAnsiTheme="minorHAnsi" w:cstheme="minorHAnsi"/>
          <w:sz w:val="20"/>
        </w:rPr>
        <w:t>F with rate of rise 15</w:t>
      </w:r>
      <w:r w:rsidRPr="00D73C21">
        <w:rPr>
          <w:rFonts w:asciiTheme="minorHAnsi" w:hAnsiTheme="minorHAnsi" w:cstheme="minorHAnsi"/>
          <w:sz w:val="20"/>
          <w:vertAlign w:val="superscript"/>
        </w:rPr>
        <w:t xml:space="preserve"> O</w:t>
      </w:r>
      <w:r w:rsidRPr="00D73C21">
        <w:rPr>
          <w:rFonts w:asciiTheme="minorHAnsi" w:hAnsiTheme="minorHAnsi" w:cstheme="minorHAnsi"/>
          <w:sz w:val="20"/>
        </w:rPr>
        <w:t>F/min.</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sensing chamber shall permit a full 360 degree smoke entry and shall contain a field replaceable optical chamber.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have an output for remote LED.</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mount to a twist-to-lock, vandal resistant base, Model 702U.</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Detector shall be suitable for open air velocities up to 300 fpm and shall have a nominal sensitivity of 2.85%, +.37%, -.75% obscuration per foot.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permit a sensitivity check without the need for generating smoke</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Detector shall permit a remote sensitivity check without removing it from service and without interrupting its operability.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provide a response LED. This LED shall flash to indicate power and shall light up steady with full brilliance on alarm.</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All field wire connections shall be made to the base through the use of a clamping plate and screw.</w:t>
      </w:r>
    </w:p>
    <w:p w:rsidR="002638EA" w:rsidRPr="00D73C21" w:rsidRDefault="000C3617" w:rsidP="002638EA">
      <w:pPr>
        <w:pStyle w:val="Heading2"/>
      </w:pPr>
      <w:r>
        <w:t>Model</w:t>
      </w:r>
      <w:r w:rsidR="002638EA" w:rsidRPr="00D73C21">
        <w:t xml:space="preserve"> 721</w:t>
      </w:r>
      <w:r w:rsidR="00C1716D">
        <w:t>U</w:t>
      </w:r>
      <w:r w:rsidR="002638EA" w:rsidRPr="00D73C21">
        <w:t xml:space="preserve"> Conventional Photoelectric Detector </w:t>
      </w:r>
    </w:p>
    <w:p w:rsidR="002638EA" w:rsidRPr="00D73C21" w:rsidRDefault="002638EA" w:rsidP="002638EA">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Photoelectric Detector shall be a light-scattering, low profile, conventional type that senses a broad range of smoldering and flaming-type fires</w:t>
      </w:r>
      <w:r>
        <w:rPr>
          <w:rFonts w:asciiTheme="minorHAnsi" w:hAnsiTheme="minorHAnsi" w:cstheme="minorHAnsi"/>
          <w:sz w:val="20"/>
        </w:rPr>
        <w:t>.</w:t>
      </w:r>
    </w:p>
    <w:p w:rsidR="002638EA" w:rsidRPr="00D73C21" w:rsidRDefault="002638EA" w:rsidP="002638EA">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sensing chamber shall permit a full 360 degree smoke entry and shall contain a field replaceable optical chamber. </w:t>
      </w:r>
    </w:p>
    <w:p w:rsidR="002638EA" w:rsidRPr="00D73C21" w:rsidRDefault="002638EA" w:rsidP="002638EA">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have an output for remote LED.</w:t>
      </w:r>
    </w:p>
    <w:p w:rsidR="002638EA" w:rsidRPr="00D73C21" w:rsidRDefault="002638EA" w:rsidP="002638EA">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mount to a twist-to-lock, vandal resistant base, Model 702U.</w:t>
      </w:r>
    </w:p>
    <w:p w:rsidR="002638EA" w:rsidRPr="00D73C21" w:rsidRDefault="002638EA" w:rsidP="002638EA">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Detector shall be suitable for open air velocities up to 300 fpm and shall have a nominal sensitivity of 2.85%, +.37%, -.75% obscuration per foot. </w:t>
      </w:r>
    </w:p>
    <w:p w:rsidR="002638EA" w:rsidRPr="00D73C21" w:rsidRDefault="002638EA" w:rsidP="002638EA">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permit a sensitivity check without the need for generating smoke</w:t>
      </w:r>
    </w:p>
    <w:p w:rsidR="002638EA" w:rsidRPr="00D73C21" w:rsidRDefault="002638EA" w:rsidP="002638EA">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lastRenderedPageBreak/>
        <w:t xml:space="preserve">The Detector shall permit a remote sensitivity check without removing it from service and without interrupting its operability. </w:t>
      </w:r>
    </w:p>
    <w:p w:rsidR="002638EA" w:rsidRPr="00D73C21" w:rsidRDefault="002638EA" w:rsidP="002638EA">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provide a response LED. This LED shall flash to indicate power and shall light up steady with full brilliance on alarm.</w:t>
      </w:r>
    </w:p>
    <w:p w:rsidR="002638EA" w:rsidRPr="00D73C21" w:rsidRDefault="002638EA" w:rsidP="002638EA">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All field wire connections shall be made to the base through the use of a clamping plate and screw.</w:t>
      </w:r>
    </w:p>
    <w:p w:rsidR="00296928" w:rsidRPr="00D73C21" w:rsidRDefault="00296928" w:rsidP="00592D4E">
      <w:pPr>
        <w:pStyle w:val="Heading2"/>
      </w:pPr>
      <w:r w:rsidRPr="00D73C21">
        <w:t xml:space="preserve"> </w:t>
      </w:r>
      <w:r w:rsidR="00A55429">
        <w:t>Model</w:t>
      </w:r>
      <w:r w:rsidRPr="00D73C21">
        <w:t xml:space="preserve"> SD-2W Two Wire Photoelectric Duct Detector</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Photoelectric Detector shall be a light-scattering, low profile, conventional type that senses a broad range of smoldering and flaming-type fires.</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Detector shall contain a PCB mounted photoelectric detector with onboard intelligence.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have the ability for mounting duct sampling tubes from eight inches to 120 inches in length.</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Detector shall be suitable for open air velocities up to 4000 fpm and shall have a nominal sensitivity of .79 %, to 2.46%, obscuration per foot.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permit a sensitivity check without the need for generating smoke</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Detector shall contain status LEDs visible through the assembly cover to indicate Alarm, Trouble and Dirty. </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have the ability to be connected to Remote LED indicator and remote test station devices.</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provide easy access to field connection terminals.</w:t>
      </w:r>
    </w:p>
    <w:p w:rsidR="00296928" w:rsidRPr="00D73C21" w:rsidRDefault="00CB508C" w:rsidP="00592D4E">
      <w:pPr>
        <w:pStyle w:val="Heading2"/>
      </w:pPr>
      <w:r>
        <w:t xml:space="preserve">Model </w:t>
      </w:r>
      <w:r w:rsidR="00296928" w:rsidRPr="00D73C21">
        <w:t>THD-7052 and THD-7053 Heat Electronic Detectors</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The THD-7157 and THD-7053 Detectors shall be a thermistor-based heat sensor with 135 </w:t>
      </w:r>
      <w:r w:rsidRPr="00D73C21">
        <w:rPr>
          <w:rFonts w:asciiTheme="minorHAnsi" w:hAnsiTheme="minorHAnsi" w:cstheme="minorHAnsi"/>
          <w:sz w:val="20"/>
          <w:vertAlign w:val="superscript"/>
        </w:rPr>
        <w:t>O</w:t>
      </w:r>
      <w:r w:rsidRPr="00D73C21">
        <w:rPr>
          <w:rFonts w:asciiTheme="minorHAnsi" w:hAnsiTheme="minorHAnsi" w:cstheme="minorHAnsi"/>
          <w:sz w:val="20"/>
        </w:rPr>
        <w:t xml:space="preserve">F (57C) set point. The THD-7052 shall have a Rate-Of-Rise temperature detection feature rated at 15 </w:t>
      </w:r>
      <w:r w:rsidRPr="00D73C21">
        <w:rPr>
          <w:rFonts w:asciiTheme="minorHAnsi" w:hAnsiTheme="minorHAnsi" w:cstheme="minorHAnsi"/>
          <w:sz w:val="20"/>
          <w:vertAlign w:val="superscript"/>
        </w:rPr>
        <w:t>O</w:t>
      </w:r>
      <w:r w:rsidRPr="00D73C21">
        <w:rPr>
          <w:rFonts w:asciiTheme="minorHAnsi" w:hAnsiTheme="minorHAnsi" w:cstheme="minorHAnsi"/>
          <w:sz w:val="20"/>
        </w:rPr>
        <w:t xml:space="preserve">F (8.30 </w:t>
      </w:r>
      <w:r w:rsidRPr="00D73C21">
        <w:rPr>
          <w:rFonts w:asciiTheme="minorHAnsi" w:hAnsiTheme="minorHAnsi" w:cstheme="minorHAnsi"/>
          <w:sz w:val="20"/>
          <w:vertAlign w:val="superscript"/>
        </w:rPr>
        <w:t>O</w:t>
      </w:r>
      <w:r w:rsidRPr="00D73C21">
        <w:rPr>
          <w:rFonts w:asciiTheme="minorHAnsi" w:hAnsiTheme="minorHAnsi" w:cstheme="minorHAnsi"/>
          <w:sz w:val="20"/>
        </w:rPr>
        <w:t>C) per minute.</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All field wire connections shall be made to the base through the use of a clamping plate and screw.</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be provided a response LED. This LED shall flash to indicate power and shall light up steady with full brilliance on alarm.</w:t>
      </w:r>
    </w:p>
    <w:p w:rsidR="00296928" w:rsidRPr="00D73C21" w:rsidRDefault="00296928" w:rsidP="000D21A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Detector shall mount to a twist-to-lock, vandal resistant base, Model 2WB.</w:t>
      </w:r>
    </w:p>
    <w:p w:rsidR="00296928" w:rsidRPr="00D73C21" w:rsidRDefault="00296928" w:rsidP="00296928">
      <w:pPr>
        <w:spacing w:after="0"/>
        <w:ind w:left="1440"/>
        <w:jc w:val="both"/>
        <w:rPr>
          <w:rFonts w:asciiTheme="minorHAnsi" w:hAnsiTheme="minorHAnsi" w:cstheme="minorHAnsi"/>
          <w:sz w:val="20"/>
        </w:rPr>
      </w:pPr>
    </w:p>
    <w:p w:rsidR="00296928" w:rsidRPr="00D73C21" w:rsidRDefault="00A55429" w:rsidP="00592D4E">
      <w:pPr>
        <w:pStyle w:val="Heading2"/>
      </w:pPr>
      <w:r>
        <w:t>TYPICAL SEQUENCE OF OPERATION</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Activation of the extinguishing system shall be via crossed-zoned smoke detection, or single zone heat detection, or a combination of smoke detection and supervisory inputs. </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Activation of any </w:t>
      </w:r>
      <w:r w:rsidR="000C3617">
        <w:rPr>
          <w:rFonts w:asciiTheme="minorHAnsi" w:hAnsiTheme="minorHAnsi" w:cstheme="minorHAnsi"/>
          <w:sz w:val="20"/>
        </w:rPr>
        <w:t>single</w:t>
      </w:r>
      <w:r w:rsidRPr="00D73C21">
        <w:rPr>
          <w:rFonts w:asciiTheme="minorHAnsi" w:hAnsiTheme="minorHAnsi" w:cstheme="minorHAnsi"/>
          <w:sz w:val="20"/>
        </w:rPr>
        <w:t xml:space="preserve"> smoke detector in the suppression zone shall:</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Cause a pre-alarm (First Alarm) condition</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Create an audible and visible indication on the FACU display and any associated remote display</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Display the zone of the detector in alarm</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Activate audible pre-alarm (First Alarm) notification appliances (e.g., bells) in the affected area</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Perform any necessary control functions such as HVAC equipment shutdown and activate any safety procedures such as closing doors</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 xml:space="preserve">Transmit an off-premises report to a </w:t>
      </w:r>
      <w:proofErr w:type="gramStart"/>
      <w:r w:rsidRPr="00D73C21">
        <w:rPr>
          <w:rFonts w:asciiTheme="minorHAnsi" w:hAnsiTheme="minorHAnsi" w:cstheme="minorHAnsi"/>
          <w:sz w:val="20"/>
        </w:rPr>
        <w:t>Listed</w:t>
      </w:r>
      <w:proofErr w:type="gramEnd"/>
      <w:r w:rsidRPr="00D73C21">
        <w:rPr>
          <w:rFonts w:asciiTheme="minorHAnsi" w:hAnsiTheme="minorHAnsi" w:cstheme="minorHAnsi"/>
          <w:sz w:val="20"/>
        </w:rPr>
        <w:t xml:space="preserve"> central or remote station, or directly to the local fire department.</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Activation of a smoke detector from each of the two crossed zones shall:</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Cause a pre-release (Second Alarm) condition</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Create an audible and visible indication on the FACU display and any associated remote display.</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Display the zones of the detectors in alarm.</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Initiate a programmable time delay, and indicate the time remaining prior to extinguishing-system discharge.</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Display the time countdown to system discharge on the user interface display.</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Activate audible and visual notification appliances (e.g., horns and strobes) in the affected area.</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Perform any necessary control functions such as the closure of dampers and activate any safety procedures such as closing doors.</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system shall, upon expiration of the time delay,</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Cause a release condition and energize the control head and/or solenoids to discharge the extinguishing agent into the protected area.</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Create an audible and visible indication on the FACU display.</w:t>
      </w:r>
      <w:r w:rsidRPr="00D73C21" w:rsidDel="00412565">
        <w:rPr>
          <w:rFonts w:asciiTheme="minorHAnsi" w:hAnsiTheme="minorHAnsi" w:cstheme="minorHAnsi"/>
          <w:sz w:val="20"/>
        </w:rPr>
        <w:t xml:space="preserve"> </w:t>
      </w:r>
      <w:r w:rsidRPr="00D73C21">
        <w:rPr>
          <w:rFonts w:asciiTheme="minorHAnsi" w:hAnsiTheme="minorHAnsi" w:cstheme="minorHAnsi"/>
          <w:sz w:val="20"/>
        </w:rPr>
        <w:t>Display the attainment of the discharge condition.</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Continue to activate the audible and visual notification appliances (i.e., strobes) in the affected area.</w:t>
      </w:r>
    </w:p>
    <w:p w:rsidR="00296928" w:rsidRPr="00D73C21" w:rsidRDefault="00296928" w:rsidP="00296928">
      <w:pPr>
        <w:numPr>
          <w:ilvl w:val="3"/>
          <w:numId w:val="1"/>
        </w:numPr>
        <w:spacing w:after="0"/>
        <w:jc w:val="both"/>
        <w:rPr>
          <w:rFonts w:asciiTheme="minorHAnsi" w:hAnsiTheme="minorHAnsi" w:cstheme="minorHAnsi"/>
          <w:sz w:val="20"/>
        </w:rPr>
      </w:pPr>
      <w:r w:rsidRPr="00D73C21">
        <w:rPr>
          <w:rFonts w:asciiTheme="minorHAnsi" w:hAnsiTheme="minorHAnsi" w:cstheme="minorHAnsi"/>
          <w:sz w:val="20"/>
        </w:rPr>
        <w:t>Perform any necessary control functions such as the emergency power off of all electrical equipment except for lighting and circuits required for life safety.</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lastRenderedPageBreak/>
        <w:t>The extinguishing system shall be capable of manual activation by Dual Action Manual Release Stations. Operation of a Manual Release Station shall cause all alarm and shutdown devices to operate as if the system had operated automatically and shall cause an immediate activation of the fire extinguishing system.  Operation of a Manual Release Station shall override the operation of all Abort switches.</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Abort Stations shall, when operated, interrupt the countdown delay for the activation of the extinguishing system and prevent the operation of any alarms and control functions associated with the discharge of the extinguishing agent. The abort switches shall be momentary, dead-man type devices that require a constant force to remain engaged and active. Manual Release Stations shall override the operation of any Abort Station. Abort Station shall be configured for operation according to the requirements of the authority having jurisdiction.</w:t>
      </w:r>
    </w:p>
    <w:p w:rsidR="00296928" w:rsidRPr="00D73C21" w:rsidRDefault="00296928" w:rsidP="00296928">
      <w:pPr>
        <w:spacing w:after="0"/>
        <w:ind w:left="1080"/>
        <w:jc w:val="both"/>
        <w:rPr>
          <w:rFonts w:asciiTheme="minorHAnsi" w:hAnsiTheme="minorHAnsi" w:cstheme="minorHAnsi"/>
          <w:sz w:val="20"/>
        </w:rPr>
      </w:pPr>
    </w:p>
    <w:p w:rsidR="00296928" w:rsidRPr="00D73C21" w:rsidRDefault="00296928" w:rsidP="00592D4E">
      <w:pPr>
        <w:pStyle w:val="Heading2"/>
      </w:pPr>
      <w:r w:rsidRPr="00D73C21">
        <w:t>CONDUCTORS AND CONDUITS</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All conductors shall be enclosed in rigid or thin-walled, steel conduit unless open wiring is permitted by the local electrical code.</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Any conduit or raceway exposed to dampness or other similar conditions shall be properly sealed and installed to prevent moisture entrapment. Provisions for draining and drying shall be employed as required.</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 xml:space="preserve">All wiring shall be of the proper size to conduct the circuit current, but shall not be smaller than #18 AWG unless permitted by the local electrical code. Wiring shall be in accordance with the </w:t>
      </w:r>
      <w:r w:rsidR="00905E75">
        <w:rPr>
          <w:rFonts w:asciiTheme="minorHAnsi" w:hAnsiTheme="minorHAnsi" w:cstheme="minorHAnsi"/>
          <w:sz w:val="20"/>
        </w:rPr>
        <w:t xml:space="preserve">FACU </w:t>
      </w:r>
      <w:r w:rsidR="00E306CB">
        <w:rPr>
          <w:rFonts w:asciiTheme="minorHAnsi" w:hAnsiTheme="minorHAnsi" w:cstheme="minorHAnsi"/>
          <w:sz w:val="20"/>
        </w:rPr>
        <w:t>In</w:t>
      </w:r>
      <w:r w:rsidR="00E306CB" w:rsidRPr="00D73C21">
        <w:rPr>
          <w:rFonts w:asciiTheme="minorHAnsi" w:hAnsiTheme="minorHAnsi" w:cstheme="minorHAnsi"/>
          <w:sz w:val="20"/>
        </w:rPr>
        <w:t>stallation</w:t>
      </w:r>
      <w:r w:rsidRPr="00D73C21">
        <w:rPr>
          <w:rFonts w:asciiTheme="minorHAnsi" w:hAnsiTheme="minorHAnsi" w:cstheme="minorHAnsi"/>
          <w:sz w:val="20"/>
        </w:rPr>
        <w:t>, Operation, and Maintenance Manual. Wire that has scrapes, nicks, gouges, or crushed insulation shall not be used. The manufacturer’s minimum wire-bending radii shall be observed in all enclosures, raceways, and conduits. Aluminum wire shall not be used.</w:t>
      </w:r>
    </w:p>
    <w:p w:rsidR="00296928" w:rsidRPr="00D73C21" w:rsidRDefault="00296928" w:rsidP="00296928">
      <w:pPr>
        <w:spacing w:after="0"/>
        <w:ind w:left="1080"/>
        <w:jc w:val="both"/>
        <w:rPr>
          <w:rFonts w:asciiTheme="minorHAnsi" w:hAnsiTheme="minorHAnsi" w:cstheme="minorHAnsi"/>
          <w:sz w:val="20"/>
        </w:rPr>
      </w:pPr>
    </w:p>
    <w:p w:rsidR="00296928" w:rsidRPr="00D73C21" w:rsidRDefault="00296928" w:rsidP="00592D4E">
      <w:pPr>
        <w:pStyle w:val="Heading1"/>
      </w:pPr>
      <w:r w:rsidRPr="00D73C21">
        <w:t>EXECUTION</w:t>
      </w:r>
    </w:p>
    <w:p w:rsidR="00910340" w:rsidRPr="00D73C21" w:rsidRDefault="00910340" w:rsidP="00592D4E">
      <w:pPr>
        <w:pStyle w:val="Heading2"/>
      </w:pPr>
      <w:r w:rsidRPr="00D73C21">
        <w:t>ELECTRICAL WORK</w:t>
      </w:r>
    </w:p>
    <w:p w:rsidR="00910340" w:rsidRPr="00D73C21" w:rsidRDefault="00910340" w:rsidP="0091034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All electrical enclosures, raceways, and conduits shall be provided and installed in accordance with applicable codes and intended use, and shall contain only those electrical circuits associated with the fire-detection and control system. No circuit or circuits that are unrelated to the fire alarm or suppression system shall be routed through the enclosures, raceways, and conduits dedicated to the fire alarm or -suppression system.</w:t>
      </w:r>
    </w:p>
    <w:p w:rsidR="00910340" w:rsidRPr="00D73C21" w:rsidRDefault="00910340" w:rsidP="0091034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Splicing of circuits shall be kept to a minimum, and is only permitted in an electrical box suitable for the purpose. Appropriate hardware shall be used to make the wire splices. Wires that are spliced together shall have the same color insulation.</w:t>
      </w:r>
    </w:p>
    <w:p w:rsidR="00910340" w:rsidRPr="00D73C21" w:rsidRDefault="00910340" w:rsidP="0091034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White colored wire shall be used exclusively for the identification of the neutral conductor of an alternating-current circuit. Green colored wire shall be used exclusively for the identification of the earth-ground conductor of an AC or DC circuit. Appropriate color-coding shall be utilized for all other field wiring.</w:t>
      </w:r>
    </w:p>
    <w:p w:rsidR="00910340" w:rsidRPr="00D73C21" w:rsidRDefault="00910340" w:rsidP="00910340">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All electrical circuits shall be numerically tagged with suitable markings at each terminal point. All circuits shall correspond with the installation drawings.</w:t>
      </w:r>
    </w:p>
    <w:p w:rsidR="00A55429" w:rsidRPr="00D73C21" w:rsidRDefault="00A55429" w:rsidP="00A55429">
      <w:pPr>
        <w:spacing w:after="0"/>
        <w:jc w:val="both"/>
        <w:rPr>
          <w:rFonts w:asciiTheme="minorHAnsi" w:hAnsiTheme="minorHAnsi" w:cstheme="minorHAnsi"/>
          <w:sz w:val="20"/>
        </w:rPr>
      </w:pPr>
    </w:p>
    <w:p w:rsidR="00296928" w:rsidRPr="00D73C21" w:rsidRDefault="00296928" w:rsidP="00592D4E">
      <w:pPr>
        <w:pStyle w:val="Heading2"/>
      </w:pPr>
      <w:r w:rsidRPr="00D73C21">
        <w:t>ELECTRICAL SYSTEM INSTALLATION</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The Contractor shall install the system in accordance with the appropriate Kidde Fire Systems installation, operation and maintenance manual.</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Locations of all electrical equipment, the FACU, and all system components are subject to the approval of the architect.</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All final-acceptance tests shall be performed in the presence of the architect and the authority having jurisdiction. The Contractor shall record all equipment, tests and system configurations in a format approved by the manufacturer and/or the local Authority Having Jurisdiction. A copy of the commissioning tests and results shall be provided to the architect, the authority having jurisdiction, and the end-user.</w:t>
      </w:r>
    </w:p>
    <w:p w:rsidR="00296928" w:rsidRPr="00D73C21" w:rsidRDefault="00296928" w:rsidP="00296928">
      <w:pPr>
        <w:spacing w:after="0"/>
        <w:ind w:left="1080"/>
        <w:jc w:val="both"/>
        <w:rPr>
          <w:rFonts w:asciiTheme="minorHAnsi" w:hAnsiTheme="minorHAnsi" w:cstheme="minorHAnsi"/>
          <w:sz w:val="20"/>
        </w:rPr>
      </w:pPr>
    </w:p>
    <w:p w:rsidR="00296928" w:rsidRPr="00D73C21" w:rsidRDefault="00296928" w:rsidP="00592D4E">
      <w:pPr>
        <w:pStyle w:val="Heading2"/>
      </w:pPr>
      <w:r w:rsidRPr="00D73C21">
        <w:t>ROUTINE MAINTENANCE</w:t>
      </w:r>
    </w:p>
    <w:p w:rsidR="00296928" w:rsidRPr="00D73C21" w:rsidRDefault="00296928" w:rsidP="00296928">
      <w:pPr>
        <w:numPr>
          <w:ilvl w:val="2"/>
          <w:numId w:val="1"/>
        </w:numPr>
        <w:spacing w:after="0"/>
        <w:jc w:val="both"/>
        <w:rPr>
          <w:rFonts w:asciiTheme="minorHAnsi" w:hAnsiTheme="minorHAnsi" w:cstheme="minorHAnsi"/>
          <w:sz w:val="20"/>
        </w:rPr>
      </w:pPr>
      <w:r w:rsidRPr="00D73C21">
        <w:rPr>
          <w:rFonts w:asciiTheme="minorHAnsi" w:hAnsiTheme="minorHAnsi" w:cstheme="minorHAnsi"/>
          <w:sz w:val="20"/>
        </w:rPr>
        <w:t>Routine maintenance on equipment shall be performed as recommended by the manufacturer’s installation, operation and maintenance manual, the relevant NFPA Codes and the requirements of the local Authority. The routine maintenance shall be performed by a Contractor certified by Kidde Fire Systems.</w:t>
      </w:r>
    </w:p>
    <w:p w:rsidR="00296928" w:rsidRPr="00D73C21" w:rsidRDefault="00296928" w:rsidP="00BB2760">
      <w:pPr>
        <w:spacing w:after="0"/>
        <w:ind w:left="720" w:hanging="720"/>
        <w:jc w:val="both"/>
        <w:rPr>
          <w:rFonts w:asciiTheme="minorHAnsi" w:hAnsiTheme="minorHAnsi" w:cstheme="minorHAnsi"/>
          <w:sz w:val="20"/>
        </w:rPr>
      </w:pPr>
    </w:p>
    <w:p w:rsidR="00164D46" w:rsidRPr="003F10FC" w:rsidRDefault="00164D46" w:rsidP="003F10FC">
      <w:pPr>
        <w:spacing w:after="0"/>
        <w:jc w:val="both"/>
        <w:rPr>
          <w:rFonts w:asciiTheme="minorHAnsi" w:hAnsiTheme="minorHAnsi"/>
          <w:sz w:val="20"/>
        </w:rPr>
      </w:pPr>
    </w:p>
    <w:sectPr w:rsidR="00164D46" w:rsidRPr="003F10FC" w:rsidSect="00296928">
      <w:headerReference w:type="default" r:id="rId9"/>
      <w:footerReference w:type="default" r:id="rId10"/>
      <w:pgSz w:w="12240" w:h="15840"/>
      <w:pgMar w:top="720" w:right="1080" w:bottom="360" w:left="108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E83" w:rsidRDefault="00600E83" w:rsidP="00F422E0">
      <w:r>
        <w:separator/>
      </w:r>
    </w:p>
    <w:p w:rsidR="00600E83" w:rsidRDefault="00600E83" w:rsidP="00F422E0"/>
  </w:endnote>
  <w:endnote w:type="continuationSeparator" w:id="0">
    <w:p w:rsidR="00600E83" w:rsidRDefault="00600E83" w:rsidP="00F422E0">
      <w:r>
        <w:continuationSeparator/>
      </w:r>
    </w:p>
    <w:p w:rsidR="00600E83" w:rsidRDefault="00600E83" w:rsidP="00F422E0"/>
  </w:endnote>
  <w:endnote w:type="continuationNotice" w:id="1">
    <w:p w:rsidR="00600E83" w:rsidRDefault="00600E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55 Roman">
    <w:altName w:val="Courier New"/>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E0" w:rsidRDefault="00F422E0" w:rsidP="00F422E0">
    <w:pPr>
      <w:pStyle w:val="Footer"/>
      <w:pBdr>
        <w:bottom w:val="single" w:sz="6" w:space="1" w:color="auto"/>
      </w:pBdr>
      <w:tabs>
        <w:tab w:val="center" w:pos="5040"/>
        <w:tab w:val="right" w:pos="9990"/>
      </w:tabs>
      <w:rPr>
        <w:sz w:val="16"/>
      </w:rPr>
    </w:pPr>
  </w:p>
  <w:p w:rsidR="00F422E0" w:rsidRPr="00F422E0" w:rsidRDefault="00F422E0" w:rsidP="00F422E0">
    <w:pPr>
      <w:pStyle w:val="Footer"/>
      <w:tabs>
        <w:tab w:val="clear" w:pos="4680"/>
        <w:tab w:val="clear" w:pos="9360"/>
        <w:tab w:val="left" w:pos="0"/>
        <w:tab w:val="center" w:pos="5040"/>
        <w:tab w:val="right" w:pos="10080"/>
      </w:tabs>
      <w:rPr>
        <w:sz w:val="28"/>
      </w:rPr>
    </w:pPr>
    <w:r w:rsidRPr="005F323E">
      <w:rPr>
        <w:sz w:val="16"/>
      </w:rPr>
      <w:t>Kidde Fire Systems</w:t>
    </w:r>
    <w:r w:rsidRPr="005F323E">
      <w:rPr>
        <w:sz w:val="16"/>
      </w:rPr>
      <w:tab/>
    </w:r>
    <w:r w:rsidR="00493FB5">
      <w:rPr>
        <w:sz w:val="16"/>
      </w:rPr>
      <w:t>December</w:t>
    </w:r>
    <w:r w:rsidRPr="005F323E">
      <w:rPr>
        <w:sz w:val="16"/>
      </w:rPr>
      <w:t xml:space="preserve"> 2016 </w:t>
    </w:r>
    <w:r w:rsidRPr="005F323E">
      <w:rPr>
        <w:sz w:val="16"/>
      </w:rPr>
      <w:tab/>
      <w:t xml:space="preserve">Page </w:t>
    </w:r>
    <w:r w:rsidRPr="005F323E">
      <w:rPr>
        <w:rStyle w:val="PageNumber"/>
        <w:sz w:val="16"/>
      </w:rPr>
      <w:fldChar w:fldCharType="begin"/>
    </w:r>
    <w:r w:rsidRPr="005F323E">
      <w:rPr>
        <w:rStyle w:val="PageNumber"/>
        <w:sz w:val="16"/>
      </w:rPr>
      <w:instrText xml:space="preserve"> PAGE </w:instrText>
    </w:r>
    <w:r w:rsidRPr="005F323E">
      <w:rPr>
        <w:rStyle w:val="PageNumber"/>
        <w:sz w:val="16"/>
      </w:rPr>
      <w:fldChar w:fldCharType="separate"/>
    </w:r>
    <w:r w:rsidR="0036310A">
      <w:rPr>
        <w:rStyle w:val="PageNumber"/>
        <w:noProof/>
        <w:sz w:val="16"/>
      </w:rPr>
      <w:t>2</w:t>
    </w:r>
    <w:r w:rsidRPr="005F323E">
      <w:rPr>
        <w:rStyle w:val="PageNumber"/>
        <w:sz w:val="16"/>
      </w:rPr>
      <w:fldChar w:fldCharType="end"/>
    </w:r>
    <w:r w:rsidRPr="005F323E">
      <w:rPr>
        <w:rStyle w:val="PageNumber"/>
        <w:sz w:val="16"/>
      </w:rPr>
      <w:t xml:space="preserve"> of </w:t>
    </w:r>
    <w:r w:rsidRPr="005F323E">
      <w:rPr>
        <w:rStyle w:val="PageNumber"/>
        <w:sz w:val="16"/>
      </w:rPr>
      <w:fldChar w:fldCharType="begin"/>
    </w:r>
    <w:r w:rsidRPr="005F323E">
      <w:rPr>
        <w:rStyle w:val="PageNumber"/>
        <w:sz w:val="16"/>
      </w:rPr>
      <w:instrText xml:space="preserve"> NUMPAGES </w:instrText>
    </w:r>
    <w:r w:rsidRPr="005F323E">
      <w:rPr>
        <w:rStyle w:val="PageNumber"/>
        <w:sz w:val="16"/>
      </w:rPr>
      <w:fldChar w:fldCharType="separate"/>
    </w:r>
    <w:r w:rsidR="0036310A">
      <w:rPr>
        <w:rStyle w:val="PageNumber"/>
        <w:noProof/>
        <w:sz w:val="16"/>
      </w:rPr>
      <w:t>8</w:t>
    </w:r>
    <w:r w:rsidRPr="005F323E">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E83" w:rsidRDefault="00600E83" w:rsidP="00F422E0">
      <w:r>
        <w:separator/>
      </w:r>
    </w:p>
    <w:p w:rsidR="00600E83" w:rsidRDefault="00600E83" w:rsidP="00F422E0"/>
  </w:footnote>
  <w:footnote w:type="continuationSeparator" w:id="0">
    <w:p w:rsidR="00600E83" w:rsidRDefault="00600E83" w:rsidP="00F422E0">
      <w:r>
        <w:continuationSeparator/>
      </w:r>
    </w:p>
    <w:p w:rsidR="00600E83" w:rsidRDefault="00600E83" w:rsidP="00F422E0"/>
  </w:footnote>
  <w:footnote w:type="continuationNotice" w:id="1">
    <w:p w:rsidR="00600E83" w:rsidRDefault="00600E8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88"/>
      <w:gridCol w:w="7200"/>
    </w:tblGrid>
    <w:tr w:rsidR="00F422E0" w:rsidTr="00D73C21">
      <w:tc>
        <w:tcPr>
          <w:tcW w:w="2988" w:type="dxa"/>
          <w:vAlign w:val="bottom"/>
        </w:tcPr>
        <w:p w:rsidR="00F422E0" w:rsidRDefault="00F422E0" w:rsidP="00D73C21">
          <w:pPr>
            <w:rPr>
              <w:rFonts w:cs="Arial"/>
            </w:rPr>
          </w:pPr>
          <w:r>
            <w:rPr>
              <w:noProof/>
            </w:rPr>
            <w:drawing>
              <wp:anchor distT="0" distB="0" distL="114300" distR="114300" simplePos="0" relativeHeight="251661312" behindDoc="1" locked="0" layoutInCell="1" allowOverlap="1" wp14:anchorId="1C12F22C" wp14:editId="1DE13311">
                <wp:simplePos x="0" y="0"/>
                <wp:positionH relativeFrom="column">
                  <wp:posOffset>-38100</wp:posOffset>
                </wp:positionH>
                <wp:positionV relativeFrom="paragraph">
                  <wp:posOffset>53340</wp:posOffset>
                </wp:positionV>
                <wp:extent cx="1514475" cy="538480"/>
                <wp:effectExtent l="0" t="0" r="9525" b="0"/>
                <wp:wrapTight wrapText="bothSides">
                  <wp:wrapPolygon edited="0">
                    <wp:start x="2445" y="764"/>
                    <wp:lineTo x="543" y="6113"/>
                    <wp:lineTo x="543" y="13755"/>
                    <wp:lineTo x="3804" y="14519"/>
                    <wp:lineTo x="3804" y="18340"/>
                    <wp:lineTo x="5706" y="19868"/>
                    <wp:lineTo x="10868" y="20632"/>
                    <wp:lineTo x="12498" y="20632"/>
                    <wp:lineTo x="18475" y="19868"/>
                    <wp:lineTo x="21464" y="18340"/>
                    <wp:lineTo x="21192" y="10698"/>
                    <wp:lineTo x="10053" y="2292"/>
                    <wp:lineTo x="4619" y="764"/>
                    <wp:lineTo x="2445" y="764"/>
                  </wp:wrapPolygon>
                </wp:wrapTight>
                <wp:docPr id="1" name="Picture 1" descr="K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0" w:type="dxa"/>
          <w:vAlign w:val="bottom"/>
        </w:tcPr>
        <w:p w:rsidR="00714F99" w:rsidRDefault="00296928" w:rsidP="00714F99">
          <w:pPr>
            <w:pStyle w:val="Header"/>
            <w:spacing w:after="0"/>
            <w:jc w:val="right"/>
            <w:rPr>
              <w:rFonts w:cs="Arial"/>
              <w:b/>
              <w:noProof/>
              <w:sz w:val="20"/>
            </w:rPr>
          </w:pPr>
          <w:r>
            <w:rPr>
              <w:rFonts w:cs="Arial"/>
              <w:b/>
              <w:noProof/>
              <w:sz w:val="20"/>
            </w:rPr>
            <w:t xml:space="preserve">AEGIS 2.0 </w:t>
          </w:r>
        </w:p>
        <w:p w:rsidR="00714F99" w:rsidRDefault="00714F99" w:rsidP="00714F99">
          <w:pPr>
            <w:pStyle w:val="Header"/>
            <w:spacing w:after="0"/>
            <w:jc w:val="right"/>
            <w:rPr>
              <w:rFonts w:cs="Arial"/>
              <w:b/>
              <w:noProof/>
              <w:sz w:val="20"/>
            </w:rPr>
          </w:pPr>
          <w:r>
            <w:rPr>
              <w:rFonts w:cs="Arial"/>
              <w:b/>
              <w:noProof/>
              <w:sz w:val="20"/>
            </w:rPr>
            <w:t xml:space="preserve">CONVENTIONAL </w:t>
          </w:r>
          <w:r w:rsidR="00296928" w:rsidRPr="00B450F6">
            <w:rPr>
              <w:rFonts w:cs="Arial"/>
              <w:b/>
              <w:noProof/>
              <w:sz w:val="20"/>
            </w:rPr>
            <w:t xml:space="preserve">SUPPRESSION </w:t>
          </w:r>
          <w:r w:rsidR="00296928">
            <w:rPr>
              <w:rFonts w:cs="Arial"/>
              <w:b/>
              <w:noProof/>
              <w:sz w:val="20"/>
            </w:rPr>
            <w:t xml:space="preserve">RELEASE </w:t>
          </w:r>
        </w:p>
        <w:p w:rsidR="00F422E0" w:rsidRPr="00290ACD" w:rsidRDefault="00296928" w:rsidP="00714F99">
          <w:pPr>
            <w:pStyle w:val="Header"/>
            <w:spacing w:after="0"/>
            <w:jc w:val="right"/>
            <w:rPr>
              <w:rFonts w:cs="Arial"/>
              <w:b/>
              <w:noProof/>
            </w:rPr>
          </w:pPr>
          <w:r>
            <w:rPr>
              <w:rFonts w:cs="Arial"/>
              <w:b/>
              <w:noProof/>
              <w:sz w:val="20"/>
            </w:rPr>
            <w:t>FIRE ALARM CO</w:t>
          </w:r>
          <w:r w:rsidRPr="00B450F6">
            <w:rPr>
              <w:rFonts w:cs="Arial"/>
              <w:b/>
              <w:noProof/>
              <w:sz w:val="20"/>
            </w:rPr>
            <w:t>NTROL</w:t>
          </w:r>
          <w:r>
            <w:rPr>
              <w:rFonts w:cs="Arial"/>
              <w:b/>
              <w:noProof/>
              <w:sz w:val="20"/>
            </w:rPr>
            <w:t xml:space="preserve"> UNIT</w:t>
          </w:r>
        </w:p>
      </w:tc>
    </w:tr>
  </w:tbl>
  <w:p w:rsidR="00F422E0" w:rsidRDefault="00F42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83FC5"/>
    <w:multiLevelType w:val="multilevel"/>
    <w:tmpl w:val="7A8CADDA"/>
    <w:lvl w:ilvl="0">
      <w:start w:val="1"/>
      <w:numFmt w:val="decimal"/>
      <w:pStyle w:val="Heading1"/>
      <w:lvlText w:val="%1."/>
      <w:lvlJc w:val="left"/>
      <w:pPr>
        <w:tabs>
          <w:tab w:val="num" w:pos="720"/>
        </w:tabs>
        <w:ind w:left="720" w:hanging="720"/>
      </w:pPr>
      <w:rPr>
        <w:rFonts w:ascii="Frutiger 55 Roman" w:hAnsi="Frutiger 55 Roman" w:hint="default"/>
        <w:b/>
        <w:i w:val="0"/>
        <w:sz w:val="24"/>
      </w:rPr>
    </w:lvl>
    <w:lvl w:ilvl="1">
      <w:start w:val="1"/>
      <w:numFmt w:val="decimal"/>
      <w:pStyle w:val="Heading2"/>
      <w:lvlText w:val="%1.%2"/>
      <w:lvlJc w:val="left"/>
      <w:pPr>
        <w:tabs>
          <w:tab w:val="num" w:pos="720"/>
        </w:tabs>
        <w:ind w:left="720" w:hanging="720"/>
      </w:pPr>
      <w:rPr>
        <w:rFonts w:ascii="Frutiger 55 Roman" w:hAnsi="Frutiger 55 Roman" w:hint="default"/>
        <w:b w:val="0"/>
        <w:i w:val="0"/>
        <w:sz w:val="20"/>
      </w:rPr>
    </w:lvl>
    <w:lvl w:ilvl="2">
      <w:start w:val="1"/>
      <w:numFmt w:val="upperLetter"/>
      <w:pStyle w:val="Heading3"/>
      <w:lvlText w:val="%3."/>
      <w:lvlJc w:val="left"/>
      <w:pPr>
        <w:tabs>
          <w:tab w:val="num" w:pos="1080"/>
        </w:tabs>
        <w:ind w:left="1080" w:hanging="360"/>
      </w:pPr>
      <w:rPr>
        <w:rFonts w:ascii="Frutiger 55 Roman" w:hAnsi="Frutiger 55 Roman" w:hint="default"/>
        <w:b w:val="0"/>
        <w:i w:val="0"/>
        <w:sz w:val="20"/>
      </w:rPr>
    </w:lvl>
    <w:lvl w:ilvl="3">
      <w:start w:val="1"/>
      <w:numFmt w:val="decimal"/>
      <w:pStyle w:val="Heading4"/>
      <w:lvlText w:val="%4."/>
      <w:lvlJc w:val="left"/>
      <w:pPr>
        <w:tabs>
          <w:tab w:val="num" w:pos="1440"/>
        </w:tabs>
        <w:ind w:left="1440" w:hanging="360"/>
      </w:pPr>
      <w:rPr>
        <w:b w:val="0"/>
        <w:i w:val="0"/>
        <w:sz w:val="20"/>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bullet"/>
      <w:lvlText w:val=""/>
      <w:lvlJc w:val="left"/>
      <w:pPr>
        <w:tabs>
          <w:tab w:val="num" w:pos="2520"/>
        </w:tabs>
        <w:ind w:left="2520" w:hanging="360"/>
      </w:pPr>
      <w:rPr>
        <w:rFonts w:ascii="Symbol" w:hAnsi="Symbol" w:hint="default"/>
        <w:sz w:val="20"/>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36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46"/>
    <w:rsid w:val="00011835"/>
    <w:rsid w:val="000219FA"/>
    <w:rsid w:val="00037963"/>
    <w:rsid w:val="000B6791"/>
    <w:rsid w:val="000C3617"/>
    <w:rsid w:val="000D21A0"/>
    <w:rsid w:val="00154DFF"/>
    <w:rsid w:val="00164D46"/>
    <w:rsid w:val="00180B20"/>
    <w:rsid w:val="00196E59"/>
    <w:rsid w:val="001E3727"/>
    <w:rsid w:val="001E5C36"/>
    <w:rsid w:val="00202682"/>
    <w:rsid w:val="00213BC7"/>
    <w:rsid w:val="002638EA"/>
    <w:rsid w:val="0029314C"/>
    <w:rsid w:val="00296928"/>
    <w:rsid w:val="002E589C"/>
    <w:rsid w:val="0036310A"/>
    <w:rsid w:val="003F10FC"/>
    <w:rsid w:val="00406F63"/>
    <w:rsid w:val="004423FB"/>
    <w:rsid w:val="00454CD7"/>
    <w:rsid w:val="00493FB5"/>
    <w:rsid w:val="004978B2"/>
    <w:rsid w:val="00517DCF"/>
    <w:rsid w:val="00592D4E"/>
    <w:rsid w:val="005D0641"/>
    <w:rsid w:val="00600E83"/>
    <w:rsid w:val="00647CF4"/>
    <w:rsid w:val="00693E5C"/>
    <w:rsid w:val="006B219E"/>
    <w:rsid w:val="006C2E60"/>
    <w:rsid w:val="006D3759"/>
    <w:rsid w:val="006D5F23"/>
    <w:rsid w:val="00714F99"/>
    <w:rsid w:val="0072172F"/>
    <w:rsid w:val="00736D72"/>
    <w:rsid w:val="00764C4F"/>
    <w:rsid w:val="0079197B"/>
    <w:rsid w:val="007A67D2"/>
    <w:rsid w:val="007B22A3"/>
    <w:rsid w:val="007D4AD6"/>
    <w:rsid w:val="00847D1C"/>
    <w:rsid w:val="008644DD"/>
    <w:rsid w:val="00883D6A"/>
    <w:rsid w:val="008D698E"/>
    <w:rsid w:val="00905E75"/>
    <w:rsid w:val="00910340"/>
    <w:rsid w:val="00946D45"/>
    <w:rsid w:val="00990700"/>
    <w:rsid w:val="009A424E"/>
    <w:rsid w:val="009C125B"/>
    <w:rsid w:val="009C2F72"/>
    <w:rsid w:val="009C33DE"/>
    <w:rsid w:val="009F7CF6"/>
    <w:rsid w:val="00A044E8"/>
    <w:rsid w:val="00A2687A"/>
    <w:rsid w:val="00A55429"/>
    <w:rsid w:val="00A64CE8"/>
    <w:rsid w:val="00A936E2"/>
    <w:rsid w:val="00AB31B5"/>
    <w:rsid w:val="00AC1D30"/>
    <w:rsid w:val="00AC1F5F"/>
    <w:rsid w:val="00AF4EBD"/>
    <w:rsid w:val="00B752EC"/>
    <w:rsid w:val="00B8165F"/>
    <w:rsid w:val="00B95993"/>
    <w:rsid w:val="00BB2760"/>
    <w:rsid w:val="00BD61BD"/>
    <w:rsid w:val="00C1716D"/>
    <w:rsid w:val="00CA16FA"/>
    <w:rsid w:val="00CB508C"/>
    <w:rsid w:val="00CD007A"/>
    <w:rsid w:val="00D155AF"/>
    <w:rsid w:val="00D2379C"/>
    <w:rsid w:val="00D66608"/>
    <w:rsid w:val="00D73C21"/>
    <w:rsid w:val="00DA0C60"/>
    <w:rsid w:val="00E04618"/>
    <w:rsid w:val="00E306CB"/>
    <w:rsid w:val="00E362B1"/>
    <w:rsid w:val="00E50FC7"/>
    <w:rsid w:val="00E54110"/>
    <w:rsid w:val="00E55691"/>
    <w:rsid w:val="00E61C5B"/>
    <w:rsid w:val="00F26789"/>
    <w:rsid w:val="00F4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28"/>
    <w:pPr>
      <w:spacing w:after="120"/>
      <w:ind w:left="0" w:firstLine="0"/>
    </w:pPr>
    <w:rPr>
      <w:rFonts w:ascii="Arial" w:eastAsia="Times New Roman" w:hAnsi="Arial"/>
      <w:sz w:val="24"/>
      <w:szCs w:val="20"/>
    </w:rPr>
  </w:style>
  <w:style w:type="paragraph" w:styleId="Heading1">
    <w:name w:val="heading 1"/>
    <w:basedOn w:val="Normal"/>
    <w:next w:val="Normal"/>
    <w:link w:val="Heading1Char"/>
    <w:uiPriority w:val="9"/>
    <w:qFormat/>
    <w:rsid w:val="00592D4E"/>
    <w:pPr>
      <w:numPr>
        <w:numId w:val="1"/>
      </w:numPr>
      <w:tabs>
        <w:tab w:val="left" w:pos="3780"/>
      </w:tabs>
      <w:spacing w:after="0"/>
      <w:jc w:val="both"/>
      <w:outlineLvl w:val="0"/>
    </w:pPr>
    <w:rPr>
      <w:rFonts w:asciiTheme="minorHAnsi" w:hAnsiTheme="minorHAnsi" w:cstheme="minorHAnsi"/>
      <w:sz w:val="20"/>
    </w:rPr>
  </w:style>
  <w:style w:type="paragraph" w:styleId="Heading2">
    <w:name w:val="heading 2"/>
    <w:basedOn w:val="Normal"/>
    <w:next w:val="Normal"/>
    <w:link w:val="Heading2Char"/>
    <w:uiPriority w:val="9"/>
    <w:unhideWhenUsed/>
    <w:qFormat/>
    <w:rsid w:val="00592D4E"/>
    <w:pPr>
      <w:numPr>
        <w:ilvl w:val="1"/>
        <w:numId w:val="1"/>
      </w:numPr>
      <w:spacing w:after="0"/>
      <w:jc w:val="both"/>
      <w:outlineLvl w:val="1"/>
    </w:pPr>
    <w:rPr>
      <w:rFonts w:asciiTheme="minorHAnsi" w:hAnsiTheme="minorHAnsi" w:cstheme="minorHAnsi"/>
      <w:sz w:val="20"/>
    </w:rPr>
  </w:style>
  <w:style w:type="paragraph" w:styleId="Heading3">
    <w:name w:val="heading 3"/>
    <w:basedOn w:val="Normal"/>
    <w:next w:val="Normal"/>
    <w:link w:val="Heading3Char"/>
    <w:uiPriority w:val="9"/>
    <w:unhideWhenUsed/>
    <w:qFormat/>
    <w:rsid w:val="00592D4E"/>
    <w:pPr>
      <w:numPr>
        <w:ilvl w:val="2"/>
        <w:numId w:val="1"/>
      </w:numPr>
      <w:spacing w:after="0"/>
      <w:jc w:val="both"/>
      <w:outlineLvl w:val="2"/>
    </w:pPr>
    <w:rPr>
      <w:rFonts w:asciiTheme="minorHAnsi" w:hAnsiTheme="minorHAnsi" w:cstheme="minorHAnsi"/>
      <w:sz w:val="20"/>
    </w:rPr>
  </w:style>
  <w:style w:type="paragraph" w:styleId="Heading4">
    <w:name w:val="heading 4"/>
    <w:basedOn w:val="Normal"/>
    <w:next w:val="Normal"/>
    <w:link w:val="Heading4Char"/>
    <w:uiPriority w:val="9"/>
    <w:unhideWhenUsed/>
    <w:qFormat/>
    <w:rsid w:val="00592D4E"/>
    <w:pPr>
      <w:numPr>
        <w:ilvl w:val="3"/>
        <w:numId w:val="1"/>
      </w:numPr>
      <w:spacing w:after="0"/>
      <w:jc w:val="both"/>
      <w:outlineLvl w:val="3"/>
    </w:pPr>
    <w:rPr>
      <w:rFonts w:asciiTheme="minorHAnsi" w:hAnsiTheme="minorHAnsi" w:cstheme="minorHAnsi"/>
      <w:sz w:val="20"/>
    </w:rPr>
  </w:style>
  <w:style w:type="paragraph" w:styleId="Heading5">
    <w:name w:val="heading 5"/>
    <w:basedOn w:val="Normal"/>
    <w:next w:val="Normal"/>
    <w:link w:val="Heading5Char"/>
    <w:uiPriority w:val="9"/>
    <w:unhideWhenUsed/>
    <w:qFormat/>
    <w:rsid w:val="00E50F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0FC7"/>
    <w:pPr>
      <w:spacing w:before="240" w:after="60"/>
      <w:outlineLvl w:val="5"/>
    </w:pPr>
    <w:rPr>
      <w:b/>
      <w:bCs/>
    </w:rPr>
  </w:style>
  <w:style w:type="paragraph" w:styleId="Heading7">
    <w:name w:val="heading 7"/>
    <w:basedOn w:val="Normal"/>
    <w:next w:val="Normal"/>
    <w:link w:val="Heading7Char"/>
    <w:uiPriority w:val="9"/>
    <w:semiHidden/>
    <w:unhideWhenUsed/>
    <w:qFormat/>
    <w:rsid w:val="00E50FC7"/>
    <w:pPr>
      <w:spacing w:before="240" w:after="60"/>
      <w:outlineLvl w:val="6"/>
    </w:pPr>
  </w:style>
  <w:style w:type="paragraph" w:styleId="Heading8">
    <w:name w:val="heading 8"/>
    <w:basedOn w:val="Normal"/>
    <w:next w:val="Normal"/>
    <w:link w:val="Heading8Char"/>
    <w:uiPriority w:val="9"/>
    <w:semiHidden/>
    <w:unhideWhenUsed/>
    <w:qFormat/>
    <w:rsid w:val="00E50FC7"/>
    <w:pPr>
      <w:spacing w:before="240" w:after="60"/>
      <w:outlineLvl w:val="7"/>
    </w:pPr>
    <w:rPr>
      <w:i/>
      <w:iCs/>
    </w:rPr>
  </w:style>
  <w:style w:type="paragraph" w:styleId="Heading9">
    <w:name w:val="heading 9"/>
    <w:basedOn w:val="Normal"/>
    <w:next w:val="Normal"/>
    <w:link w:val="Heading9Char"/>
    <w:uiPriority w:val="9"/>
    <w:semiHidden/>
    <w:unhideWhenUsed/>
    <w:qFormat/>
    <w:rsid w:val="00E50FC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D4E"/>
    <w:rPr>
      <w:rFonts w:asciiTheme="minorHAnsi" w:eastAsia="Times New Roman" w:hAnsiTheme="minorHAnsi" w:cstheme="minorHAnsi"/>
      <w:sz w:val="20"/>
      <w:szCs w:val="20"/>
    </w:rPr>
  </w:style>
  <w:style w:type="character" w:customStyle="1" w:styleId="Heading2Char">
    <w:name w:val="Heading 2 Char"/>
    <w:basedOn w:val="DefaultParagraphFont"/>
    <w:link w:val="Heading2"/>
    <w:uiPriority w:val="9"/>
    <w:rsid w:val="00592D4E"/>
    <w:rPr>
      <w:rFonts w:asciiTheme="minorHAnsi" w:eastAsia="Times New Roman" w:hAnsiTheme="minorHAnsi" w:cstheme="minorHAnsi"/>
      <w:sz w:val="20"/>
      <w:szCs w:val="20"/>
    </w:rPr>
  </w:style>
  <w:style w:type="character" w:customStyle="1" w:styleId="Heading3Char">
    <w:name w:val="Heading 3 Char"/>
    <w:basedOn w:val="DefaultParagraphFont"/>
    <w:link w:val="Heading3"/>
    <w:uiPriority w:val="9"/>
    <w:rsid w:val="00592D4E"/>
    <w:rPr>
      <w:rFonts w:asciiTheme="minorHAnsi" w:eastAsia="Times New Roman" w:hAnsiTheme="minorHAnsi" w:cstheme="minorHAnsi"/>
      <w:sz w:val="20"/>
      <w:szCs w:val="20"/>
    </w:rPr>
  </w:style>
  <w:style w:type="character" w:customStyle="1" w:styleId="Heading4Char">
    <w:name w:val="Heading 4 Char"/>
    <w:basedOn w:val="DefaultParagraphFont"/>
    <w:link w:val="Heading4"/>
    <w:uiPriority w:val="9"/>
    <w:rsid w:val="00592D4E"/>
    <w:rPr>
      <w:rFonts w:asciiTheme="minorHAnsi" w:eastAsia="Times New Roman" w:hAnsiTheme="minorHAnsi" w:cstheme="minorHAnsi"/>
      <w:sz w:val="20"/>
      <w:szCs w:val="20"/>
    </w:rPr>
  </w:style>
  <w:style w:type="character" w:customStyle="1" w:styleId="Heading5Char">
    <w:name w:val="Heading 5 Char"/>
    <w:basedOn w:val="DefaultParagraphFont"/>
    <w:link w:val="Heading5"/>
    <w:uiPriority w:val="9"/>
    <w:semiHidden/>
    <w:rsid w:val="00E50FC7"/>
    <w:rPr>
      <w:b/>
      <w:bCs/>
      <w:i/>
      <w:iCs/>
      <w:sz w:val="26"/>
      <w:szCs w:val="26"/>
    </w:rPr>
  </w:style>
  <w:style w:type="character" w:customStyle="1" w:styleId="Heading6Char">
    <w:name w:val="Heading 6 Char"/>
    <w:basedOn w:val="DefaultParagraphFont"/>
    <w:link w:val="Heading6"/>
    <w:uiPriority w:val="9"/>
    <w:semiHidden/>
    <w:rsid w:val="00E50FC7"/>
    <w:rPr>
      <w:b/>
      <w:bCs/>
    </w:rPr>
  </w:style>
  <w:style w:type="character" w:customStyle="1" w:styleId="Heading7Char">
    <w:name w:val="Heading 7 Char"/>
    <w:basedOn w:val="DefaultParagraphFont"/>
    <w:link w:val="Heading7"/>
    <w:uiPriority w:val="9"/>
    <w:semiHidden/>
    <w:rsid w:val="00E50FC7"/>
    <w:rPr>
      <w:sz w:val="24"/>
      <w:szCs w:val="24"/>
    </w:rPr>
  </w:style>
  <w:style w:type="character" w:customStyle="1" w:styleId="Heading8Char">
    <w:name w:val="Heading 8 Char"/>
    <w:basedOn w:val="DefaultParagraphFont"/>
    <w:link w:val="Heading8"/>
    <w:uiPriority w:val="9"/>
    <w:semiHidden/>
    <w:rsid w:val="00E50FC7"/>
    <w:rPr>
      <w:i/>
      <w:iCs/>
      <w:sz w:val="24"/>
      <w:szCs w:val="24"/>
    </w:rPr>
  </w:style>
  <w:style w:type="character" w:customStyle="1" w:styleId="Heading9Char">
    <w:name w:val="Heading 9 Char"/>
    <w:basedOn w:val="DefaultParagraphFont"/>
    <w:link w:val="Heading9"/>
    <w:uiPriority w:val="9"/>
    <w:semiHidden/>
    <w:rsid w:val="00E50FC7"/>
    <w:rPr>
      <w:rFonts w:asciiTheme="majorHAnsi" w:eastAsiaTheme="majorEastAsia" w:hAnsiTheme="majorHAnsi"/>
    </w:rPr>
  </w:style>
  <w:style w:type="paragraph" w:styleId="Title">
    <w:name w:val="Title"/>
    <w:basedOn w:val="Normal"/>
    <w:next w:val="Normal"/>
    <w:link w:val="TitleChar"/>
    <w:uiPriority w:val="10"/>
    <w:qFormat/>
    <w:rsid w:val="00E50F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0F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0F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0FC7"/>
    <w:rPr>
      <w:rFonts w:asciiTheme="majorHAnsi" w:eastAsiaTheme="majorEastAsia" w:hAnsiTheme="majorHAnsi"/>
      <w:sz w:val="24"/>
      <w:szCs w:val="24"/>
    </w:rPr>
  </w:style>
  <w:style w:type="character" w:styleId="Strong">
    <w:name w:val="Strong"/>
    <w:basedOn w:val="DefaultParagraphFont"/>
    <w:uiPriority w:val="22"/>
    <w:qFormat/>
    <w:rsid w:val="00E50FC7"/>
    <w:rPr>
      <w:b/>
      <w:bCs/>
    </w:rPr>
  </w:style>
  <w:style w:type="character" w:styleId="Emphasis">
    <w:name w:val="Emphasis"/>
    <w:basedOn w:val="DefaultParagraphFont"/>
    <w:uiPriority w:val="20"/>
    <w:qFormat/>
    <w:rsid w:val="00E50FC7"/>
    <w:rPr>
      <w:rFonts w:asciiTheme="minorHAnsi" w:hAnsiTheme="minorHAnsi"/>
      <w:b/>
      <w:i/>
      <w:iCs/>
    </w:rPr>
  </w:style>
  <w:style w:type="paragraph" w:styleId="NoSpacing">
    <w:name w:val="No Spacing"/>
    <w:basedOn w:val="Normal"/>
    <w:uiPriority w:val="1"/>
    <w:qFormat/>
    <w:rsid w:val="00E50FC7"/>
    <w:rPr>
      <w:szCs w:val="32"/>
    </w:rPr>
  </w:style>
  <w:style w:type="paragraph" w:styleId="ListParagraph">
    <w:name w:val="List Paragraph"/>
    <w:basedOn w:val="Normal"/>
    <w:uiPriority w:val="34"/>
    <w:qFormat/>
    <w:rsid w:val="00E50FC7"/>
    <w:pPr>
      <w:ind w:left="720"/>
      <w:contextualSpacing/>
    </w:pPr>
  </w:style>
  <w:style w:type="paragraph" w:styleId="Quote">
    <w:name w:val="Quote"/>
    <w:basedOn w:val="Normal"/>
    <w:next w:val="Normal"/>
    <w:link w:val="QuoteChar"/>
    <w:uiPriority w:val="29"/>
    <w:qFormat/>
    <w:rsid w:val="00E50FC7"/>
    <w:rPr>
      <w:i/>
    </w:rPr>
  </w:style>
  <w:style w:type="character" w:customStyle="1" w:styleId="QuoteChar">
    <w:name w:val="Quote Char"/>
    <w:basedOn w:val="DefaultParagraphFont"/>
    <w:link w:val="Quote"/>
    <w:uiPriority w:val="29"/>
    <w:rsid w:val="00E50FC7"/>
    <w:rPr>
      <w:i/>
      <w:sz w:val="24"/>
      <w:szCs w:val="24"/>
    </w:rPr>
  </w:style>
  <w:style w:type="paragraph" w:styleId="IntenseQuote">
    <w:name w:val="Intense Quote"/>
    <w:basedOn w:val="Normal"/>
    <w:next w:val="Normal"/>
    <w:link w:val="IntenseQuoteChar"/>
    <w:uiPriority w:val="30"/>
    <w:qFormat/>
    <w:rsid w:val="00E50FC7"/>
    <w:pPr>
      <w:ind w:left="720" w:right="720"/>
    </w:pPr>
    <w:rPr>
      <w:b/>
      <w:i/>
    </w:rPr>
  </w:style>
  <w:style w:type="character" w:customStyle="1" w:styleId="IntenseQuoteChar">
    <w:name w:val="Intense Quote Char"/>
    <w:basedOn w:val="DefaultParagraphFont"/>
    <w:link w:val="IntenseQuote"/>
    <w:uiPriority w:val="30"/>
    <w:rsid w:val="00E50FC7"/>
    <w:rPr>
      <w:b/>
      <w:i/>
      <w:sz w:val="24"/>
    </w:rPr>
  </w:style>
  <w:style w:type="character" w:styleId="SubtleEmphasis">
    <w:name w:val="Subtle Emphasis"/>
    <w:uiPriority w:val="19"/>
    <w:qFormat/>
    <w:rsid w:val="00E50FC7"/>
    <w:rPr>
      <w:i/>
      <w:color w:val="5A5A5A" w:themeColor="text1" w:themeTint="A5"/>
    </w:rPr>
  </w:style>
  <w:style w:type="character" w:styleId="IntenseEmphasis">
    <w:name w:val="Intense Emphasis"/>
    <w:basedOn w:val="DefaultParagraphFont"/>
    <w:uiPriority w:val="21"/>
    <w:qFormat/>
    <w:rsid w:val="00E50FC7"/>
    <w:rPr>
      <w:b/>
      <w:i/>
      <w:sz w:val="24"/>
      <w:szCs w:val="24"/>
      <w:u w:val="single"/>
    </w:rPr>
  </w:style>
  <w:style w:type="character" w:styleId="SubtleReference">
    <w:name w:val="Subtle Reference"/>
    <w:basedOn w:val="DefaultParagraphFont"/>
    <w:uiPriority w:val="31"/>
    <w:qFormat/>
    <w:rsid w:val="00E50FC7"/>
    <w:rPr>
      <w:sz w:val="24"/>
      <w:szCs w:val="24"/>
      <w:u w:val="single"/>
    </w:rPr>
  </w:style>
  <w:style w:type="character" w:styleId="IntenseReference">
    <w:name w:val="Intense Reference"/>
    <w:basedOn w:val="DefaultParagraphFont"/>
    <w:uiPriority w:val="32"/>
    <w:qFormat/>
    <w:rsid w:val="00E50FC7"/>
    <w:rPr>
      <w:b/>
      <w:sz w:val="24"/>
      <w:u w:val="single"/>
    </w:rPr>
  </w:style>
  <w:style w:type="character" w:styleId="BookTitle">
    <w:name w:val="Book Title"/>
    <w:basedOn w:val="DefaultParagraphFont"/>
    <w:uiPriority w:val="33"/>
    <w:qFormat/>
    <w:rsid w:val="00E50F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0FC7"/>
    <w:pPr>
      <w:outlineLvl w:val="9"/>
    </w:pPr>
  </w:style>
  <w:style w:type="paragraph" w:styleId="Header">
    <w:name w:val="header"/>
    <w:basedOn w:val="Normal"/>
    <w:link w:val="HeaderChar"/>
    <w:unhideWhenUsed/>
    <w:rsid w:val="00F422E0"/>
    <w:pPr>
      <w:tabs>
        <w:tab w:val="center" w:pos="4680"/>
        <w:tab w:val="right" w:pos="9360"/>
      </w:tabs>
    </w:pPr>
  </w:style>
  <w:style w:type="character" w:customStyle="1" w:styleId="HeaderChar">
    <w:name w:val="Header Char"/>
    <w:basedOn w:val="DefaultParagraphFont"/>
    <w:link w:val="Header"/>
    <w:rsid w:val="00F422E0"/>
  </w:style>
  <w:style w:type="paragraph" w:styleId="Footer">
    <w:name w:val="footer"/>
    <w:basedOn w:val="Normal"/>
    <w:link w:val="FooterChar"/>
    <w:unhideWhenUsed/>
    <w:rsid w:val="00F422E0"/>
    <w:pPr>
      <w:tabs>
        <w:tab w:val="center" w:pos="4680"/>
        <w:tab w:val="right" w:pos="9360"/>
      </w:tabs>
    </w:pPr>
  </w:style>
  <w:style w:type="character" w:customStyle="1" w:styleId="FooterChar">
    <w:name w:val="Footer Char"/>
    <w:basedOn w:val="DefaultParagraphFont"/>
    <w:link w:val="Footer"/>
    <w:uiPriority w:val="99"/>
    <w:rsid w:val="00F422E0"/>
  </w:style>
  <w:style w:type="table" w:styleId="TableGrid">
    <w:name w:val="Table Grid"/>
    <w:basedOn w:val="TableNormal"/>
    <w:rsid w:val="00F422E0"/>
    <w:pPr>
      <w:ind w:left="0" w:firstLine="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F422E0"/>
  </w:style>
  <w:style w:type="character" w:styleId="CommentReference">
    <w:name w:val="annotation reference"/>
    <w:basedOn w:val="DefaultParagraphFont"/>
    <w:uiPriority w:val="99"/>
    <w:semiHidden/>
    <w:unhideWhenUsed/>
    <w:rsid w:val="00CB508C"/>
    <w:rPr>
      <w:sz w:val="16"/>
      <w:szCs w:val="16"/>
    </w:rPr>
  </w:style>
  <w:style w:type="paragraph" w:styleId="CommentText">
    <w:name w:val="annotation text"/>
    <w:basedOn w:val="Normal"/>
    <w:link w:val="CommentTextChar"/>
    <w:uiPriority w:val="99"/>
    <w:semiHidden/>
    <w:unhideWhenUsed/>
    <w:rsid w:val="00CB508C"/>
    <w:rPr>
      <w:sz w:val="20"/>
    </w:rPr>
  </w:style>
  <w:style w:type="character" w:customStyle="1" w:styleId="CommentTextChar">
    <w:name w:val="Comment Text Char"/>
    <w:basedOn w:val="DefaultParagraphFont"/>
    <w:link w:val="CommentText"/>
    <w:uiPriority w:val="99"/>
    <w:semiHidden/>
    <w:rsid w:val="00CB508C"/>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CB508C"/>
    <w:rPr>
      <w:b/>
      <w:bCs/>
    </w:rPr>
  </w:style>
  <w:style w:type="character" w:customStyle="1" w:styleId="CommentSubjectChar">
    <w:name w:val="Comment Subject Char"/>
    <w:basedOn w:val="CommentTextChar"/>
    <w:link w:val="CommentSubject"/>
    <w:uiPriority w:val="99"/>
    <w:semiHidden/>
    <w:rsid w:val="00CB508C"/>
    <w:rPr>
      <w:rFonts w:ascii="Arial" w:eastAsia="Times New Roman" w:hAnsi="Arial"/>
      <w:b/>
      <w:bCs/>
      <w:sz w:val="20"/>
      <w:szCs w:val="20"/>
    </w:rPr>
  </w:style>
  <w:style w:type="paragraph" w:styleId="BalloonText">
    <w:name w:val="Balloon Text"/>
    <w:basedOn w:val="Normal"/>
    <w:link w:val="BalloonTextChar"/>
    <w:uiPriority w:val="99"/>
    <w:semiHidden/>
    <w:unhideWhenUsed/>
    <w:rsid w:val="00CB50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08C"/>
    <w:rPr>
      <w:rFonts w:ascii="Tahoma" w:eastAsia="Times New Roman" w:hAnsi="Tahoma" w:cs="Tahoma"/>
      <w:sz w:val="16"/>
      <w:szCs w:val="16"/>
    </w:rPr>
  </w:style>
  <w:style w:type="character" w:styleId="Hyperlink">
    <w:name w:val="Hyperlink"/>
    <w:basedOn w:val="DefaultParagraphFont"/>
    <w:uiPriority w:val="99"/>
    <w:unhideWhenUsed/>
    <w:rsid w:val="00CB5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28"/>
    <w:pPr>
      <w:spacing w:after="120"/>
      <w:ind w:left="0" w:firstLine="0"/>
    </w:pPr>
    <w:rPr>
      <w:rFonts w:ascii="Arial" w:eastAsia="Times New Roman" w:hAnsi="Arial"/>
      <w:sz w:val="24"/>
      <w:szCs w:val="20"/>
    </w:rPr>
  </w:style>
  <w:style w:type="paragraph" w:styleId="Heading1">
    <w:name w:val="heading 1"/>
    <w:basedOn w:val="Normal"/>
    <w:next w:val="Normal"/>
    <w:link w:val="Heading1Char"/>
    <w:uiPriority w:val="9"/>
    <w:qFormat/>
    <w:rsid w:val="00592D4E"/>
    <w:pPr>
      <w:numPr>
        <w:numId w:val="1"/>
      </w:numPr>
      <w:tabs>
        <w:tab w:val="left" w:pos="3780"/>
      </w:tabs>
      <w:spacing w:after="0"/>
      <w:jc w:val="both"/>
      <w:outlineLvl w:val="0"/>
    </w:pPr>
    <w:rPr>
      <w:rFonts w:asciiTheme="minorHAnsi" w:hAnsiTheme="minorHAnsi" w:cstheme="minorHAnsi"/>
      <w:sz w:val="20"/>
    </w:rPr>
  </w:style>
  <w:style w:type="paragraph" w:styleId="Heading2">
    <w:name w:val="heading 2"/>
    <w:basedOn w:val="Normal"/>
    <w:next w:val="Normal"/>
    <w:link w:val="Heading2Char"/>
    <w:uiPriority w:val="9"/>
    <w:unhideWhenUsed/>
    <w:qFormat/>
    <w:rsid w:val="00592D4E"/>
    <w:pPr>
      <w:numPr>
        <w:ilvl w:val="1"/>
        <w:numId w:val="1"/>
      </w:numPr>
      <w:spacing w:after="0"/>
      <w:jc w:val="both"/>
      <w:outlineLvl w:val="1"/>
    </w:pPr>
    <w:rPr>
      <w:rFonts w:asciiTheme="minorHAnsi" w:hAnsiTheme="minorHAnsi" w:cstheme="minorHAnsi"/>
      <w:sz w:val="20"/>
    </w:rPr>
  </w:style>
  <w:style w:type="paragraph" w:styleId="Heading3">
    <w:name w:val="heading 3"/>
    <w:basedOn w:val="Normal"/>
    <w:next w:val="Normal"/>
    <w:link w:val="Heading3Char"/>
    <w:uiPriority w:val="9"/>
    <w:unhideWhenUsed/>
    <w:qFormat/>
    <w:rsid w:val="00592D4E"/>
    <w:pPr>
      <w:numPr>
        <w:ilvl w:val="2"/>
        <w:numId w:val="1"/>
      </w:numPr>
      <w:spacing w:after="0"/>
      <w:jc w:val="both"/>
      <w:outlineLvl w:val="2"/>
    </w:pPr>
    <w:rPr>
      <w:rFonts w:asciiTheme="minorHAnsi" w:hAnsiTheme="minorHAnsi" w:cstheme="minorHAnsi"/>
      <w:sz w:val="20"/>
    </w:rPr>
  </w:style>
  <w:style w:type="paragraph" w:styleId="Heading4">
    <w:name w:val="heading 4"/>
    <w:basedOn w:val="Normal"/>
    <w:next w:val="Normal"/>
    <w:link w:val="Heading4Char"/>
    <w:uiPriority w:val="9"/>
    <w:unhideWhenUsed/>
    <w:qFormat/>
    <w:rsid w:val="00592D4E"/>
    <w:pPr>
      <w:numPr>
        <w:ilvl w:val="3"/>
        <w:numId w:val="1"/>
      </w:numPr>
      <w:spacing w:after="0"/>
      <w:jc w:val="both"/>
      <w:outlineLvl w:val="3"/>
    </w:pPr>
    <w:rPr>
      <w:rFonts w:asciiTheme="minorHAnsi" w:hAnsiTheme="minorHAnsi" w:cstheme="minorHAnsi"/>
      <w:sz w:val="20"/>
    </w:rPr>
  </w:style>
  <w:style w:type="paragraph" w:styleId="Heading5">
    <w:name w:val="heading 5"/>
    <w:basedOn w:val="Normal"/>
    <w:next w:val="Normal"/>
    <w:link w:val="Heading5Char"/>
    <w:uiPriority w:val="9"/>
    <w:unhideWhenUsed/>
    <w:qFormat/>
    <w:rsid w:val="00E50F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0FC7"/>
    <w:pPr>
      <w:spacing w:before="240" w:after="60"/>
      <w:outlineLvl w:val="5"/>
    </w:pPr>
    <w:rPr>
      <w:b/>
      <w:bCs/>
    </w:rPr>
  </w:style>
  <w:style w:type="paragraph" w:styleId="Heading7">
    <w:name w:val="heading 7"/>
    <w:basedOn w:val="Normal"/>
    <w:next w:val="Normal"/>
    <w:link w:val="Heading7Char"/>
    <w:uiPriority w:val="9"/>
    <w:semiHidden/>
    <w:unhideWhenUsed/>
    <w:qFormat/>
    <w:rsid w:val="00E50FC7"/>
    <w:pPr>
      <w:spacing w:before="240" w:after="60"/>
      <w:outlineLvl w:val="6"/>
    </w:pPr>
  </w:style>
  <w:style w:type="paragraph" w:styleId="Heading8">
    <w:name w:val="heading 8"/>
    <w:basedOn w:val="Normal"/>
    <w:next w:val="Normal"/>
    <w:link w:val="Heading8Char"/>
    <w:uiPriority w:val="9"/>
    <w:semiHidden/>
    <w:unhideWhenUsed/>
    <w:qFormat/>
    <w:rsid w:val="00E50FC7"/>
    <w:pPr>
      <w:spacing w:before="240" w:after="60"/>
      <w:outlineLvl w:val="7"/>
    </w:pPr>
    <w:rPr>
      <w:i/>
      <w:iCs/>
    </w:rPr>
  </w:style>
  <w:style w:type="paragraph" w:styleId="Heading9">
    <w:name w:val="heading 9"/>
    <w:basedOn w:val="Normal"/>
    <w:next w:val="Normal"/>
    <w:link w:val="Heading9Char"/>
    <w:uiPriority w:val="9"/>
    <w:semiHidden/>
    <w:unhideWhenUsed/>
    <w:qFormat/>
    <w:rsid w:val="00E50FC7"/>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D4E"/>
    <w:rPr>
      <w:rFonts w:asciiTheme="minorHAnsi" w:eastAsia="Times New Roman" w:hAnsiTheme="minorHAnsi" w:cstheme="minorHAnsi"/>
      <w:sz w:val="20"/>
      <w:szCs w:val="20"/>
    </w:rPr>
  </w:style>
  <w:style w:type="character" w:customStyle="1" w:styleId="Heading2Char">
    <w:name w:val="Heading 2 Char"/>
    <w:basedOn w:val="DefaultParagraphFont"/>
    <w:link w:val="Heading2"/>
    <w:uiPriority w:val="9"/>
    <w:rsid w:val="00592D4E"/>
    <w:rPr>
      <w:rFonts w:asciiTheme="minorHAnsi" w:eastAsia="Times New Roman" w:hAnsiTheme="minorHAnsi" w:cstheme="minorHAnsi"/>
      <w:sz w:val="20"/>
      <w:szCs w:val="20"/>
    </w:rPr>
  </w:style>
  <w:style w:type="character" w:customStyle="1" w:styleId="Heading3Char">
    <w:name w:val="Heading 3 Char"/>
    <w:basedOn w:val="DefaultParagraphFont"/>
    <w:link w:val="Heading3"/>
    <w:uiPriority w:val="9"/>
    <w:rsid w:val="00592D4E"/>
    <w:rPr>
      <w:rFonts w:asciiTheme="minorHAnsi" w:eastAsia="Times New Roman" w:hAnsiTheme="minorHAnsi" w:cstheme="minorHAnsi"/>
      <w:sz w:val="20"/>
      <w:szCs w:val="20"/>
    </w:rPr>
  </w:style>
  <w:style w:type="character" w:customStyle="1" w:styleId="Heading4Char">
    <w:name w:val="Heading 4 Char"/>
    <w:basedOn w:val="DefaultParagraphFont"/>
    <w:link w:val="Heading4"/>
    <w:uiPriority w:val="9"/>
    <w:rsid w:val="00592D4E"/>
    <w:rPr>
      <w:rFonts w:asciiTheme="minorHAnsi" w:eastAsia="Times New Roman" w:hAnsiTheme="minorHAnsi" w:cstheme="minorHAnsi"/>
      <w:sz w:val="20"/>
      <w:szCs w:val="20"/>
    </w:rPr>
  </w:style>
  <w:style w:type="character" w:customStyle="1" w:styleId="Heading5Char">
    <w:name w:val="Heading 5 Char"/>
    <w:basedOn w:val="DefaultParagraphFont"/>
    <w:link w:val="Heading5"/>
    <w:uiPriority w:val="9"/>
    <w:semiHidden/>
    <w:rsid w:val="00E50FC7"/>
    <w:rPr>
      <w:b/>
      <w:bCs/>
      <w:i/>
      <w:iCs/>
      <w:sz w:val="26"/>
      <w:szCs w:val="26"/>
    </w:rPr>
  </w:style>
  <w:style w:type="character" w:customStyle="1" w:styleId="Heading6Char">
    <w:name w:val="Heading 6 Char"/>
    <w:basedOn w:val="DefaultParagraphFont"/>
    <w:link w:val="Heading6"/>
    <w:uiPriority w:val="9"/>
    <w:semiHidden/>
    <w:rsid w:val="00E50FC7"/>
    <w:rPr>
      <w:b/>
      <w:bCs/>
    </w:rPr>
  </w:style>
  <w:style w:type="character" w:customStyle="1" w:styleId="Heading7Char">
    <w:name w:val="Heading 7 Char"/>
    <w:basedOn w:val="DefaultParagraphFont"/>
    <w:link w:val="Heading7"/>
    <w:uiPriority w:val="9"/>
    <w:semiHidden/>
    <w:rsid w:val="00E50FC7"/>
    <w:rPr>
      <w:sz w:val="24"/>
      <w:szCs w:val="24"/>
    </w:rPr>
  </w:style>
  <w:style w:type="character" w:customStyle="1" w:styleId="Heading8Char">
    <w:name w:val="Heading 8 Char"/>
    <w:basedOn w:val="DefaultParagraphFont"/>
    <w:link w:val="Heading8"/>
    <w:uiPriority w:val="9"/>
    <w:semiHidden/>
    <w:rsid w:val="00E50FC7"/>
    <w:rPr>
      <w:i/>
      <w:iCs/>
      <w:sz w:val="24"/>
      <w:szCs w:val="24"/>
    </w:rPr>
  </w:style>
  <w:style w:type="character" w:customStyle="1" w:styleId="Heading9Char">
    <w:name w:val="Heading 9 Char"/>
    <w:basedOn w:val="DefaultParagraphFont"/>
    <w:link w:val="Heading9"/>
    <w:uiPriority w:val="9"/>
    <w:semiHidden/>
    <w:rsid w:val="00E50FC7"/>
    <w:rPr>
      <w:rFonts w:asciiTheme="majorHAnsi" w:eastAsiaTheme="majorEastAsia" w:hAnsiTheme="majorHAnsi"/>
    </w:rPr>
  </w:style>
  <w:style w:type="paragraph" w:styleId="Title">
    <w:name w:val="Title"/>
    <w:basedOn w:val="Normal"/>
    <w:next w:val="Normal"/>
    <w:link w:val="TitleChar"/>
    <w:uiPriority w:val="10"/>
    <w:qFormat/>
    <w:rsid w:val="00E50F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0F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0F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0FC7"/>
    <w:rPr>
      <w:rFonts w:asciiTheme="majorHAnsi" w:eastAsiaTheme="majorEastAsia" w:hAnsiTheme="majorHAnsi"/>
      <w:sz w:val="24"/>
      <w:szCs w:val="24"/>
    </w:rPr>
  </w:style>
  <w:style w:type="character" w:styleId="Strong">
    <w:name w:val="Strong"/>
    <w:basedOn w:val="DefaultParagraphFont"/>
    <w:uiPriority w:val="22"/>
    <w:qFormat/>
    <w:rsid w:val="00E50FC7"/>
    <w:rPr>
      <w:b/>
      <w:bCs/>
    </w:rPr>
  </w:style>
  <w:style w:type="character" w:styleId="Emphasis">
    <w:name w:val="Emphasis"/>
    <w:basedOn w:val="DefaultParagraphFont"/>
    <w:uiPriority w:val="20"/>
    <w:qFormat/>
    <w:rsid w:val="00E50FC7"/>
    <w:rPr>
      <w:rFonts w:asciiTheme="minorHAnsi" w:hAnsiTheme="minorHAnsi"/>
      <w:b/>
      <w:i/>
      <w:iCs/>
    </w:rPr>
  </w:style>
  <w:style w:type="paragraph" w:styleId="NoSpacing">
    <w:name w:val="No Spacing"/>
    <w:basedOn w:val="Normal"/>
    <w:uiPriority w:val="1"/>
    <w:qFormat/>
    <w:rsid w:val="00E50FC7"/>
    <w:rPr>
      <w:szCs w:val="32"/>
    </w:rPr>
  </w:style>
  <w:style w:type="paragraph" w:styleId="ListParagraph">
    <w:name w:val="List Paragraph"/>
    <w:basedOn w:val="Normal"/>
    <w:uiPriority w:val="34"/>
    <w:qFormat/>
    <w:rsid w:val="00E50FC7"/>
    <w:pPr>
      <w:ind w:left="720"/>
      <w:contextualSpacing/>
    </w:pPr>
  </w:style>
  <w:style w:type="paragraph" w:styleId="Quote">
    <w:name w:val="Quote"/>
    <w:basedOn w:val="Normal"/>
    <w:next w:val="Normal"/>
    <w:link w:val="QuoteChar"/>
    <w:uiPriority w:val="29"/>
    <w:qFormat/>
    <w:rsid w:val="00E50FC7"/>
    <w:rPr>
      <w:i/>
    </w:rPr>
  </w:style>
  <w:style w:type="character" w:customStyle="1" w:styleId="QuoteChar">
    <w:name w:val="Quote Char"/>
    <w:basedOn w:val="DefaultParagraphFont"/>
    <w:link w:val="Quote"/>
    <w:uiPriority w:val="29"/>
    <w:rsid w:val="00E50FC7"/>
    <w:rPr>
      <w:i/>
      <w:sz w:val="24"/>
      <w:szCs w:val="24"/>
    </w:rPr>
  </w:style>
  <w:style w:type="paragraph" w:styleId="IntenseQuote">
    <w:name w:val="Intense Quote"/>
    <w:basedOn w:val="Normal"/>
    <w:next w:val="Normal"/>
    <w:link w:val="IntenseQuoteChar"/>
    <w:uiPriority w:val="30"/>
    <w:qFormat/>
    <w:rsid w:val="00E50FC7"/>
    <w:pPr>
      <w:ind w:left="720" w:right="720"/>
    </w:pPr>
    <w:rPr>
      <w:b/>
      <w:i/>
    </w:rPr>
  </w:style>
  <w:style w:type="character" w:customStyle="1" w:styleId="IntenseQuoteChar">
    <w:name w:val="Intense Quote Char"/>
    <w:basedOn w:val="DefaultParagraphFont"/>
    <w:link w:val="IntenseQuote"/>
    <w:uiPriority w:val="30"/>
    <w:rsid w:val="00E50FC7"/>
    <w:rPr>
      <w:b/>
      <w:i/>
      <w:sz w:val="24"/>
    </w:rPr>
  </w:style>
  <w:style w:type="character" w:styleId="SubtleEmphasis">
    <w:name w:val="Subtle Emphasis"/>
    <w:uiPriority w:val="19"/>
    <w:qFormat/>
    <w:rsid w:val="00E50FC7"/>
    <w:rPr>
      <w:i/>
      <w:color w:val="5A5A5A" w:themeColor="text1" w:themeTint="A5"/>
    </w:rPr>
  </w:style>
  <w:style w:type="character" w:styleId="IntenseEmphasis">
    <w:name w:val="Intense Emphasis"/>
    <w:basedOn w:val="DefaultParagraphFont"/>
    <w:uiPriority w:val="21"/>
    <w:qFormat/>
    <w:rsid w:val="00E50FC7"/>
    <w:rPr>
      <w:b/>
      <w:i/>
      <w:sz w:val="24"/>
      <w:szCs w:val="24"/>
      <w:u w:val="single"/>
    </w:rPr>
  </w:style>
  <w:style w:type="character" w:styleId="SubtleReference">
    <w:name w:val="Subtle Reference"/>
    <w:basedOn w:val="DefaultParagraphFont"/>
    <w:uiPriority w:val="31"/>
    <w:qFormat/>
    <w:rsid w:val="00E50FC7"/>
    <w:rPr>
      <w:sz w:val="24"/>
      <w:szCs w:val="24"/>
      <w:u w:val="single"/>
    </w:rPr>
  </w:style>
  <w:style w:type="character" w:styleId="IntenseReference">
    <w:name w:val="Intense Reference"/>
    <w:basedOn w:val="DefaultParagraphFont"/>
    <w:uiPriority w:val="32"/>
    <w:qFormat/>
    <w:rsid w:val="00E50FC7"/>
    <w:rPr>
      <w:b/>
      <w:sz w:val="24"/>
      <w:u w:val="single"/>
    </w:rPr>
  </w:style>
  <w:style w:type="character" w:styleId="BookTitle">
    <w:name w:val="Book Title"/>
    <w:basedOn w:val="DefaultParagraphFont"/>
    <w:uiPriority w:val="33"/>
    <w:qFormat/>
    <w:rsid w:val="00E50F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0FC7"/>
    <w:pPr>
      <w:outlineLvl w:val="9"/>
    </w:pPr>
  </w:style>
  <w:style w:type="paragraph" w:styleId="Header">
    <w:name w:val="header"/>
    <w:basedOn w:val="Normal"/>
    <w:link w:val="HeaderChar"/>
    <w:unhideWhenUsed/>
    <w:rsid w:val="00F422E0"/>
    <w:pPr>
      <w:tabs>
        <w:tab w:val="center" w:pos="4680"/>
        <w:tab w:val="right" w:pos="9360"/>
      </w:tabs>
    </w:pPr>
  </w:style>
  <w:style w:type="character" w:customStyle="1" w:styleId="HeaderChar">
    <w:name w:val="Header Char"/>
    <w:basedOn w:val="DefaultParagraphFont"/>
    <w:link w:val="Header"/>
    <w:rsid w:val="00F422E0"/>
  </w:style>
  <w:style w:type="paragraph" w:styleId="Footer">
    <w:name w:val="footer"/>
    <w:basedOn w:val="Normal"/>
    <w:link w:val="FooterChar"/>
    <w:unhideWhenUsed/>
    <w:rsid w:val="00F422E0"/>
    <w:pPr>
      <w:tabs>
        <w:tab w:val="center" w:pos="4680"/>
        <w:tab w:val="right" w:pos="9360"/>
      </w:tabs>
    </w:pPr>
  </w:style>
  <w:style w:type="character" w:customStyle="1" w:styleId="FooterChar">
    <w:name w:val="Footer Char"/>
    <w:basedOn w:val="DefaultParagraphFont"/>
    <w:link w:val="Footer"/>
    <w:uiPriority w:val="99"/>
    <w:rsid w:val="00F422E0"/>
  </w:style>
  <w:style w:type="table" w:styleId="TableGrid">
    <w:name w:val="Table Grid"/>
    <w:basedOn w:val="TableNormal"/>
    <w:rsid w:val="00F422E0"/>
    <w:pPr>
      <w:ind w:left="0" w:firstLine="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F422E0"/>
  </w:style>
  <w:style w:type="character" w:styleId="CommentReference">
    <w:name w:val="annotation reference"/>
    <w:basedOn w:val="DefaultParagraphFont"/>
    <w:uiPriority w:val="99"/>
    <w:semiHidden/>
    <w:unhideWhenUsed/>
    <w:rsid w:val="00CB508C"/>
    <w:rPr>
      <w:sz w:val="16"/>
      <w:szCs w:val="16"/>
    </w:rPr>
  </w:style>
  <w:style w:type="paragraph" w:styleId="CommentText">
    <w:name w:val="annotation text"/>
    <w:basedOn w:val="Normal"/>
    <w:link w:val="CommentTextChar"/>
    <w:uiPriority w:val="99"/>
    <w:semiHidden/>
    <w:unhideWhenUsed/>
    <w:rsid w:val="00CB508C"/>
    <w:rPr>
      <w:sz w:val="20"/>
    </w:rPr>
  </w:style>
  <w:style w:type="character" w:customStyle="1" w:styleId="CommentTextChar">
    <w:name w:val="Comment Text Char"/>
    <w:basedOn w:val="DefaultParagraphFont"/>
    <w:link w:val="CommentText"/>
    <w:uiPriority w:val="99"/>
    <w:semiHidden/>
    <w:rsid w:val="00CB508C"/>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CB508C"/>
    <w:rPr>
      <w:b/>
      <w:bCs/>
    </w:rPr>
  </w:style>
  <w:style w:type="character" w:customStyle="1" w:styleId="CommentSubjectChar">
    <w:name w:val="Comment Subject Char"/>
    <w:basedOn w:val="CommentTextChar"/>
    <w:link w:val="CommentSubject"/>
    <w:uiPriority w:val="99"/>
    <w:semiHidden/>
    <w:rsid w:val="00CB508C"/>
    <w:rPr>
      <w:rFonts w:ascii="Arial" w:eastAsia="Times New Roman" w:hAnsi="Arial"/>
      <w:b/>
      <w:bCs/>
      <w:sz w:val="20"/>
      <w:szCs w:val="20"/>
    </w:rPr>
  </w:style>
  <w:style w:type="paragraph" w:styleId="BalloonText">
    <w:name w:val="Balloon Text"/>
    <w:basedOn w:val="Normal"/>
    <w:link w:val="BalloonTextChar"/>
    <w:uiPriority w:val="99"/>
    <w:semiHidden/>
    <w:unhideWhenUsed/>
    <w:rsid w:val="00CB50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08C"/>
    <w:rPr>
      <w:rFonts w:ascii="Tahoma" w:eastAsia="Times New Roman" w:hAnsi="Tahoma" w:cs="Tahoma"/>
      <w:sz w:val="16"/>
      <w:szCs w:val="16"/>
    </w:rPr>
  </w:style>
  <w:style w:type="character" w:styleId="Hyperlink">
    <w:name w:val="Hyperlink"/>
    <w:basedOn w:val="DefaultParagraphFont"/>
    <w:uiPriority w:val="99"/>
    <w:unhideWhenUsed/>
    <w:rsid w:val="00CB5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96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defiresystem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4115</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27516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Abhay Nadgir</dc:creator>
  <cp:lastModifiedBy>Abhay Nadgir</cp:lastModifiedBy>
  <cp:revision>5</cp:revision>
  <dcterms:created xsi:type="dcterms:W3CDTF">2016-12-26T15:50:00Z</dcterms:created>
  <dcterms:modified xsi:type="dcterms:W3CDTF">2016-12-26T21:50:00Z</dcterms:modified>
</cp:coreProperties>
</file>